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74749380"/>
        <w:docPartObj>
          <w:docPartGallery w:val="Cover Pages"/>
          <w:docPartUnique/>
        </w:docPartObj>
      </w:sdtPr>
      <w:sdtEndPr/>
      <w:sdtContent>
        <w:p w14:paraId="622FE7F1" w14:textId="77777777" w:rsidR="007C5D14" w:rsidRDefault="007C5D14"/>
        <w:p w14:paraId="6E5FEBE0" w14:textId="77777777" w:rsidR="007C5D14" w:rsidRDefault="007C5D14">
          <w:pPr>
            <w:rPr>
              <w:noProof/>
            </w:rPr>
          </w:pPr>
        </w:p>
        <w:p w14:paraId="34A5E4E4" w14:textId="77777777" w:rsidR="007C5D14" w:rsidRDefault="007C5D14">
          <w:pPr>
            <w:rPr>
              <w:noProof/>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7C5D14" w14:paraId="317C80CC" w14:textId="77777777" w:rsidTr="003E089D">
            <w:tc>
              <w:tcPr>
                <w:tcW w:w="4815" w:type="dxa"/>
              </w:tcPr>
              <w:p w14:paraId="62E1E589" w14:textId="77777777" w:rsidR="007C5D14" w:rsidRPr="00E04AEC" w:rsidRDefault="007C5D14" w:rsidP="003E089D">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Proposal title:</w:t>
                </w:r>
              </w:p>
            </w:tc>
            <w:tc>
              <w:tcPr>
                <w:tcW w:w="4961" w:type="dxa"/>
              </w:tcPr>
              <w:p w14:paraId="0F2FA292" w14:textId="04448C1A" w:rsidR="007C5D14" w:rsidRPr="00B64F85" w:rsidRDefault="007836CD" w:rsidP="003E089D">
                <w:pPr>
                  <w:tabs>
                    <w:tab w:val="left" w:pos="720"/>
                    <w:tab w:val="left" w:pos="7200"/>
                  </w:tabs>
                  <w:spacing w:before="120" w:after="120"/>
                  <w:rPr>
                    <w:color w:val="000000" w:themeColor="text1"/>
                  </w:rPr>
                </w:pPr>
                <w:r w:rsidRPr="00B64F85">
                  <w:rPr>
                    <w:color w:val="000000" w:themeColor="text1"/>
                  </w:rPr>
                  <w:t>Capacity Building of National Financial Institutions to Access and Utilize Green and Climate Finance</w:t>
                </w:r>
              </w:p>
            </w:tc>
          </w:tr>
          <w:tr w:rsidR="007C5D14" w14:paraId="6F7AF5A7" w14:textId="77777777" w:rsidTr="003E089D">
            <w:tc>
              <w:tcPr>
                <w:tcW w:w="4815" w:type="dxa"/>
                <w:vAlign w:val="center"/>
              </w:tcPr>
              <w:p w14:paraId="1065F013" w14:textId="77777777" w:rsidR="007C5D14" w:rsidRPr="00E04AEC" w:rsidRDefault="007C5D14" w:rsidP="003E089D">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Country(ies):</w:t>
                </w:r>
              </w:p>
            </w:tc>
            <w:tc>
              <w:tcPr>
                <w:tcW w:w="4961" w:type="dxa"/>
              </w:tcPr>
              <w:p w14:paraId="31B7B3D6" w14:textId="54BF68C8" w:rsidR="007C5D14" w:rsidRPr="00B64F85" w:rsidRDefault="007836CD" w:rsidP="003E089D">
                <w:pPr>
                  <w:tabs>
                    <w:tab w:val="left" w:pos="720"/>
                    <w:tab w:val="left" w:pos="7200"/>
                  </w:tabs>
                  <w:spacing w:before="120" w:after="120"/>
                  <w:rPr>
                    <w:color w:val="000000" w:themeColor="text1"/>
                  </w:rPr>
                </w:pPr>
                <w:r w:rsidRPr="00B64F85">
                  <w:rPr>
                    <w:color w:val="000000" w:themeColor="text1"/>
                  </w:rPr>
                  <w:t>Kyrgyz Republic</w:t>
                </w:r>
              </w:p>
            </w:tc>
          </w:tr>
          <w:tr w:rsidR="007C5D14" w14:paraId="052318B3" w14:textId="77777777" w:rsidTr="003E089D">
            <w:tc>
              <w:tcPr>
                <w:tcW w:w="4815" w:type="dxa"/>
                <w:vAlign w:val="center"/>
              </w:tcPr>
              <w:p w14:paraId="5B2EEA7F" w14:textId="77777777" w:rsidR="007C5D14" w:rsidRPr="00E04AEC" w:rsidRDefault="007C5D14" w:rsidP="003E089D">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National Designated Authority(ies):</w:t>
                </w:r>
              </w:p>
            </w:tc>
            <w:tc>
              <w:tcPr>
                <w:tcW w:w="4961" w:type="dxa"/>
              </w:tcPr>
              <w:p w14:paraId="31E6FA75" w14:textId="4E23A85B" w:rsidR="007C5D14" w:rsidRPr="00B64F85" w:rsidRDefault="007836CD" w:rsidP="003E089D">
                <w:pPr>
                  <w:tabs>
                    <w:tab w:val="left" w:pos="720"/>
                    <w:tab w:val="left" w:pos="7200"/>
                  </w:tabs>
                  <w:spacing w:before="120" w:after="120"/>
                  <w:rPr>
                    <w:color w:val="000000" w:themeColor="text1"/>
                  </w:rPr>
                </w:pPr>
                <w:r w:rsidRPr="00B64F85">
                  <w:rPr>
                    <w:color w:val="000000" w:themeColor="text1"/>
                  </w:rPr>
                  <w:t>Ministry of Natural Resources, Ecology and Technical Supervision of the Kyrgyz Republic</w:t>
                </w:r>
              </w:p>
            </w:tc>
          </w:tr>
          <w:tr w:rsidR="007C5D14" w14:paraId="744A667F" w14:textId="77777777" w:rsidTr="003E089D">
            <w:tc>
              <w:tcPr>
                <w:tcW w:w="4815" w:type="dxa"/>
                <w:vAlign w:val="center"/>
              </w:tcPr>
              <w:p w14:paraId="2E77355D" w14:textId="77777777" w:rsidR="007C5D14" w:rsidRPr="00E04AEC" w:rsidRDefault="007C5D14" w:rsidP="003E089D">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Delivery Partner:</w:t>
                </w:r>
              </w:p>
            </w:tc>
            <w:tc>
              <w:tcPr>
                <w:tcW w:w="4961" w:type="dxa"/>
              </w:tcPr>
              <w:p w14:paraId="2E46FC50" w14:textId="48FE93E2" w:rsidR="007C5D14" w:rsidRPr="00B64F85" w:rsidRDefault="007836CD" w:rsidP="003E089D">
                <w:pPr>
                  <w:tabs>
                    <w:tab w:val="left" w:pos="720"/>
                    <w:tab w:val="left" w:pos="7200"/>
                  </w:tabs>
                  <w:spacing w:before="120" w:after="120"/>
                  <w:rPr>
                    <w:color w:val="000000" w:themeColor="text1"/>
                  </w:rPr>
                </w:pPr>
                <w:r w:rsidRPr="00B64F85">
                  <w:rPr>
                    <w:color w:val="000000" w:themeColor="text1"/>
                  </w:rPr>
                  <w:t>United Nations Development Programme</w:t>
                </w:r>
              </w:p>
            </w:tc>
          </w:tr>
          <w:tr w:rsidR="007C5D14" w14:paraId="2F9F6B96" w14:textId="77777777" w:rsidTr="003E089D">
            <w:tc>
              <w:tcPr>
                <w:tcW w:w="4815" w:type="dxa"/>
                <w:vAlign w:val="center"/>
              </w:tcPr>
              <w:p w14:paraId="654B0361" w14:textId="77777777" w:rsidR="007C5D14" w:rsidRPr="00E04AEC" w:rsidRDefault="007C5D14" w:rsidP="003E089D">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 xml:space="preserve">Date of </w:t>
                </w:r>
                <w:r w:rsidRPr="00E04AEC">
                  <w:rPr>
                    <w:rFonts w:ascii="Arial" w:eastAsia="Times New Roman" w:hAnsi="Arial" w:cs="Arial"/>
                    <w:b/>
                    <w:color w:val="276E8B" w:themeColor="accent1" w:themeShade="BF"/>
                    <w:u w:val="single"/>
                    <w:lang w:val="en-GB" w:eastAsia="en-GB"/>
                  </w:rPr>
                  <w:t>first</w:t>
                </w:r>
                <w:r w:rsidRPr="00E04AEC">
                  <w:rPr>
                    <w:rFonts w:ascii="Arial" w:eastAsia="Times New Roman" w:hAnsi="Arial" w:cs="Arial"/>
                    <w:b/>
                    <w:color w:val="276E8B" w:themeColor="accent1" w:themeShade="BF"/>
                    <w:lang w:val="en-GB" w:eastAsia="en-GB"/>
                  </w:rPr>
                  <w:t xml:space="preserve"> submission:</w:t>
                </w:r>
              </w:p>
            </w:tc>
            <w:tc>
              <w:tcPr>
                <w:tcW w:w="4961" w:type="dxa"/>
              </w:tcPr>
              <w:bookmarkStart w:id="0" w:name="OLE_LINK1" w:displacedByCustomXml="next"/>
              <w:sdt>
                <w:sdtPr>
                  <w:rPr>
                    <w:rFonts w:ascii="Arial" w:eastAsia="Times New Roman" w:hAnsi="Arial" w:cs="Arial"/>
                    <w:bCs/>
                    <w:color w:val="000000" w:themeColor="text1"/>
                    <w:lang w:val="en-GB" w:eastAsia="en-GB"/>
                  </w:rPr>
                  <w:id w:val="-915165005"/>
                  <w:placeholder>
                    <w:docPart w:val="8547379AF11E4EC2A5C9E2279D545149"/>
                  </w:placeholder>
                  <w:date w:fullDate="2024-12-18T00:00:00Z">
                    <w:dateFormat w:val="d MMMM yyyy"/>
                    <w:lid w:val="en-US"/>
                    <w:storeMappedDataAs w:val="dateTime"/>
                    <w:calendar w:val="gregorian"/>
                  </w:date>
                </w:sdtPr>
                <w:sdtEndPr/>
                <w:sdtContent>
                  <w:p w14:paraId="09CD9A26" w14:textId="1427BE95" w:rsidR="007C5D14" w:rsidRPr="00837A4F" w:rsidRDefault="009538B0" w:rsidP="003E089D">
                    <w:pPr>
                      <w:spacing w:before="120" w:after="120"/>
                      <w:ind w:right="-29"/>
                      <w:rPr>
                        <w:rFonts w:ascii="Arial" w:eastAsia="Times New Roman" w:hAnsi="Arial" w:cs="Arial"/>
                        <w:bCs/>
                        <w:color w:val="000000" w:themeColor="text1"/>
                        <w:lang w:val="en-GB" w:eastAsia="en-GB"/>
                      </w:rPr>
                    </w:pPr>
                    <w:r w:rsidRPr="00837A4F">
                      <w:rPr>
                        <w:rFonts w:ascii="Arial" w:eastAsia="Times New Roman" w:hAnsi="Arial" w:cs="Arial"/>
                        <w:bCs/>
                        <w:color w:val="000000" w:themeColor="text1"/>
                        <w:lang w:eastAsia="en-GB"/>
                      </w:rPr>
                      <w:t>18 December 2024</w:t>
                    </w:r>
                  </w:p>
                </w:sdtContent>
              </w:sdt>
              <w:bookmarkEnd w:id="0" w:displacedByCustomXml="prev"/>
            </w:tc>
          </w:tr>
          <w:tr w:rsidR="007C5D14" w14:paraId="0E9B16F6" w14:textId="77777777" w:rsidTr="003E089D">
            <w:tc>
              <w:tcPr>
                <w:tcW w:w="4815" w:type="dxa"/>
                <w:vAlign w:val="center"/>
              </w:tcPr>
              <w:p w14:paraId="11EF33C9" w14:textId="77777777" w:rsidR="007C5D14" w:rsidRPr="00E04AEC" w:rsidRDefault="007C5D14" w:rsidP="003E089D">
                <w:pPr>
                  <w:tabs>
                    <w:tab w:val="left" w:pos="720"/>
                    <w:tab w:val="left" w:pos="7200"/>
                  </w:tabs>
                  <w:spacing w:before="120" w:after="120"/>
                  <w:rPr>
                    <w:color w:val="276E8B" w:themeColor="accent1" w:themeShade="BF"/>
                  </w:rPr>
                </w:pPr>
                <w:r w:rsidRPr="00E04AEC">
                  <w:rPr>
                    <w:rFonts w:ascii="Arial" w:eastAsia="Times New Roman" w:hAnsi="Arial" w:cs="Arial"/>
                    <w:b/>
                    <w:color w:val="276E8B" w:themeColor="accent1" w:themeShade="BF"/>
                    <w:lang w:val="en-GB" w:eastAsia="en-GB"/>
                  </w:rPr>
                  <w:t xml:space="preserve">Date of </w:t>
                </w:r>
                <w:r w:rsidRPr="00E04AEC">
                  <w:rPr>
                    <w:rFonts w:ascii="Arial" w:eastAsia="Times New Roman" w:hAnsi="Arial" w:cs="Arial"/>
                    <w:b/>
                    <w:color w:val="276E8B" w:themeColor="accent1" w:themeShade="BF"/>
                    <w:u w:val="single"/>
                    <w:lang w:val="en-GB" w:eastAsia="en-GB"/>
                  </w:rPr>
                  <w:t>current</w:t>
                </w:r>
                <w:r w:rsidRPr="00E04AEC">
                  <w:rPr>
                    <w:rFonts w:ascii="Arial" w:eastAsia="Times New Roman" w:hAnsi="Arial" w:cs="Arial"/>
                    <w:b/>
                    <w:color w:val="276E8B" w:themeColor="accent1" w:themeShade="BF"/>
                    <w:lang w:val="en-GB" w:eastAsia="en-GB"/>
                  </w:rPr>
                  <w:t xml:space="preserve"> submission:</w:t>
                </w:r>
              </w:p>
            </w:tc>
            <w:tc>
              <w:tcPr>
                <w:tcW w:w="4961" w:type="dxa"/>
              </w:tcPr>
              <w:sdt>
                <w:sdtPr>
                  <w:rPr>
                    <w:rFonts w:ascii="Arial" w:eastAsia="Times New Roman" w:hAnsi="Arial" w:cs="Arial"/>
                    <w:bCs/>
                    <w:color w:val="000000" w:themeColor="text1"/>
                    <w:lang w:val="en-GB" w:eastAsia="en-GB"/>
                  </w:rPr>
                  <w:id w:val="-1120133662"/>
                  <w:placeholder>
                    <w:docPart w:val="CE8C3B065A85477D94131E92A9811281"/>
                  </w:placeholder>
                  <w:date w:fullDate="2025-03-17T00:00:00Z">
                    <w:dateFormat w:val="d MMMM yyyy"/>
                    <w:lid w:val="en-US"/>
                    <w:storeMappedDataAs w:val="dateTime"/>
                    <w:calendar w:val="gregorian"/>
                  </w:date>
                </w:sdtPr>
                <w:sdtEndPr/>
                <w:sdtContent>
                  <w:p w14:paraId="20A254C7" w14:textId="26CD96FE" w:rsidR="007C5D14" w:rsidRPr="00837A4F" w:rsidRDefault="009538B0" w:rsidP="003E089D">
                    <w:pPr>
                      <w:spacing w:before="120" w:after="120"/>
                      <w:ind w:right="-29"/>
                      <w:rPr>
                        <w:rFonts w:ascii="Arial" w:eastAsia="Times New Roman" w:hAnsi="Arial" w:cs="Arial"/>
                        <w:bCs/>
                        <w:color w:val="000000" w:themeColor="text1"/>
                        <w:lang w:val="en-GB" w:eastAsia="en-GB"/>
                      </w:rPr>
                    </w:pPr>
                    <w:r w:rsidRPr="00837A4F">
                      <w:rPr>
                        <w:rFonts w:ascii="Arial" w:eastAsia="Times New Roman" w:hAnsi="Arial" w:cs="Arial"/>
                        <w:bCs/>
                        <w:color w:val="000000" w:themeColor="text1"/>
                        <w:lang w:eastAsia="en-GB"/>
                      </w:rPr>
                      <w:t>1</w:t>
                    </w:r>
                    <w:r w:rsidR="007C6708">
                      <w:rPr>
                        <w:rFonts w:ascii="Arial" w:eastAsia="Times New Roman" w:hAnsi="Arial" w:cs="Arial"/>
                        <w:bCs/>
                        <w:color w:val="000000" w:themeColor="text1"/>
                        <w:lang w:eastAsia="en-GB"/>
                      </w:rPr>
                      <w:t>7</w:t>
                    </w:r>
                    <w:r w:rsidRPr="00837A4F">
                      <w:rPr>
                        <w:rFonts w:ascii="Arial" w:eastAsia="Times New Roman" w:hAnsi="Arial" w:cs="Arial"/>
                        <w:bCs/>
                        <w:color w:val="000000" w:themeColor="text1"/>
                        <w:lang w:eastAsia="en-GB"/>
                      </w:rPr>
                      <w:t xml:space="preserve"> </w:t>
                    </w:r>
                    <w:r w:rsidR="007C6708">
                      <w:rPr>
                        <w:rFonts w:ascii="Arial" w:eastAsia="Times New Roman" w:hAnsi="Arial" w:cs="Arial"/>
                        <w:bCs/>
                        <w:color w:val="000000" w:themeColor="text1"/>
                        <w:lang w:eastAsia="en-GB"/>
                      </w:rPr>
                      <w:t>March</w:t>
                    </w:r>
                    <w:r w:rsidRPr="00837A4F">
                      <w:rPr>
                        <w:rFonts w:ascii="Arial" w:eastAsia="Times New Roman" w:hAnsi="Arial" w:cs="Arial"/>
                        <w:bCs/>
                        <w:color w:val="000000" w:themeColor="text1"/>
                        <w:lang w:eastAsia="en-GB"/>
                      </w:rPr>
                      <w:t xml:space="preserve"> 202</w:t>
                    </w:r>
                    <w:r w:rsidR="007C6708">
                      <w:rPr>
                        <w:rFonts w:ascii="Arial" w:eastAsia="Times New Roman" w:hAnsi="Arial" w:cs="Arial"/>
                        <w:bCs/>
                        <w:color w:val="000000" w:themeColor="text1"/>
                        <w:lang w:eastAsia="en-GB"/>
                      </w:rPr>
                      <w:t>5</w:t>
                    </w:r>
                  </w:p>
                </w:sdtContent>
              </w:sdt>
            </w:tc>
          </w:tr>
          <w:tr w:rsidR="007C5D14" w:rsidRPr="00435F3F" w14:paraId="4CAC7836" w14:textId="77777777" w:rsidTr="003E089D">
            <w:tc>
              <w:tcPr>
                <w:tcW w:w="4815" w:type="dxa"/>
                <w:vAlign w:val="center"/>
              </w:tcPr>
              <w:p w14:paraId="6ECC8579" w14:textId="77777777" w:rsidR="007C5D14" w:rsidRPr="00E04AEC" w:rsidRDefault="007C5D14" w:rsidP="003E089D">
                <w:pPr>
                  <w:tabs>
                    <w:tab w:val="left" w:pos="720"/>
                    <w:tab w:val="left" w:pos="7200"/>
                  </w:tabs>
                  <w:spacing w:before="120" w:after="120"/>
                  <w:rPr>
                    <w:rFonts w:ascii="Arial" w:eastAsia="Times New Roman" w:hAnsi="Arial" w:cs="Arial"/>
                    <w:b/>
                    <w:color w:val="276E8B" w:themeColor="accent1" w:themeShade="BF"/>
                    <w:lang w:val="en-GB" w:eastAsia="en-GB"/>
                  </w:rPr>
                </w:pPr>
                <w:r w:rsidRPr="00E04AEC">
                  <w:rPr>
                    <w:rFonts w:ascii="Arial" w:eastAsia="Times New Roman" w:hAnsi="Arial" w:cs="Arial"/>
                    <w:b/>
                    <w:color w:val="276E8B" w:themeColor="accent1" w:themeShade="BF"/>
                    <w:lang w:val="en-GB" w:eastAsia="en-GB"/>
                  </w:rPr>
                  <w:t>Version number:</w:t>
                </w:r>
              </w:p>
            </w:tc>
            <w:tc>
              <w:tcPr>
                <w:tcW w:w="4961" w:type="dxa"/>
              </w:tcPr>
              <w:p w14:paraId="3729764F" w14:textId="3005854B" w:rsidR="007C5D14" w:rsidRPr="00B64F85" w:rsidRDefault="00437EB4" w:rsidP="003E089D">
                <w:pPr>
                  <w:spacing w:before="120" w:after="120"/>
                  <w:ind w:right="-29"/>
                  <w:rPr>
                    <w:rFonts w:ascii="Arial" w:eastAsia="Times New Roman" w:hAnsi="Arial" w:cs="Arial"/>
                    <w:bCs/>
                    <w:color w:val="000000" w:themeColor="text1"/>
                    <w:lang w:val="fr-BE" w:eastAsia="en-GB"/>
                  </w:rPr>
                </w:pPr>
                <w:r w:rsidRPr="00B64F85">
                  <w:rPr>
                    <w:color w:val="000000" w:themeColor="text1"/>
                  </w:rPr>
                  <w:t>Version #</w:t>
                </w:r>
                <w:sdt>
                  <w:sdtPr>
                    <w:rPr>
                      <w:color w:val="000000" w:themeColor="text1"/>
                    </w:rPr>
                    <w:alias w:val="Version number"/>
                    <w:tag w:val="Version number"/>
                    <w:id w:val="-1852560497"/>
                    <w:placeholder>
                      <w:docPart w:val="CE156D213DF34CCEA9922784CA33EF9F"/>
                    </w:placeholder>
                    <w:dropDownList>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EndPr/>
                  <w:sdtContent>
                    <w:r w:rsidR="007C6708">
                      <w:rPr>
                        <w:color w:val="000000" w:themeColor="text1"/>
                      </w:rPr>
                      <w:t>2</w:t>
                    </w:r>
                  </w:sdtContent>
                </w:sdt>
              </w:p>
            </w:tc>
          </w:tr>
        </w:tbl>
        <w:p w14:paraId="41BB6F0F" w14:textId="07AA03CD" w:rsidR="00F65A42" w:rsidRDefault="0036264C">
          <w:r>
            <w:rPr>
              <w:noProof/>
            </w:rPr>
            <mc:AlternateContent>
              <mc:Choice Requires="wps">
                <w:drawing>
                  <wp:anchor distT="0" distB="0" distL="114300" distR="114300" simplePos="0" relativeHeight="251658240" behindDoc="0" locked="0" layoutInCell="1" allowOverlap="1" wp14:anchorId="3002509A" wp14:editId="44BFA858">
                    <wp:simplePos x="0" y="0"/>
                    <wp:positionH relativeFrom="page">
                      <wp:posOffset>-773430</wp:posOffset>
                    </wp:positionH>
                    <wp:positionV relativeFrom="page">
                      <wp:posOffset>1042670</wp:posOffset>
                    </wp:positionV>
                    <wp:extent cx="7625080" cy="2319655"/>
                    <wp:effectExtent l="0" t="0" r="0" b="0"/>
                    <wp:wrapSquare wrapText="bothSides"/>
                    <wp:docPr id="1944056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5080" cy="2319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F8A687" w14:textId="4812954A" w:rsidR="0090590C" w:rsidRPr="00E04AEC" w:rsidRDefault="007C6708" w:rsidP="00B21BD9">
                                <w:pPr>
                                  <w:rPr>
                                    <w:color w:val="276E8B" w:themeColor="accent1" w:themeShade="BF"/>
                                    <w:sz w:val="64"/>
                                    <w:szCs w:val="64"/>
                                  </w:rPr>
                                </w:pPr>
                                <w:sdt>
                                  <w:sdtPr>
                                    <w:rPr>
                                      <w:caps/>
                                      <w:color w:val="276E8B"/>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8348F" w:rsidRPr="007E26E1">
                                      <w:rPr>
                                        <w:color w:val="276E8B"/>
                                        <w:sz w:val="64"/>
                                        <w:szCs w:val="64"/>
                                      </w:rPr>
                                      <w:t>Readiness and Preparatory Support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19B43822" w14:textId="25FFE488" w:rsidR="0090590C" w:rsidRDefault="0048348F">
                                    <w:r>
                                      <w:rPr>
                                        <w:color w:val="404040" w:themeColor="text1" w:themeTint="BF"/>
                                        <w:sz w:val="36"/>
                                        <w:szCs w:val="36"/>
                                      </w:rPr>
                                      <w:t>Proposal Template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002509A" id="_x0000_t202" coordsize="21600,21600" o:spt="202" path="m,l,21600r21600,l21600,xe">
                    <v:stroke joinstyle="miter"/>
                    <v:path gradientshapeok="t" o:connecttype="rect"/>
                  </v:shapetype>
                  <v:shape id="Text Box 2" o:spid="_x0000_s1026" type="#_x0000_t202" style="position:absolute;margin-left:-60.9pt;margin-top:82.1pt;width:600.4pt;height:182.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" filled="f" stroked="f" strokeweight=".5pt">
                    <v:textbox inset="126pt,0,54pt,0">
                      <w:txbxContent>
                        <w:p w14:paraId="2CF8A687" w14:textId="4812954A" w:rsidR="0090590C" w:rsidRPr="00E04AEC" w:rsidRDefault="00000000" w:rsidP="00B21BD9">
                          <w:pPr>
                            <w:rPr>
                              <w:color w:val="276E8B" w:themeColor="accent1" w:themeShade="BF"/>
                              <w:sz w:val="64"/>
                              <w:szCs w:val="64"/>
                            </w:rPr>
                          </w:pPr>
                          <w:sdt>
                            <w:sdtPr>
                              <w:rPr>
                                <w:caps/>
                                <w:color w:val="276E8B"/>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8348F" w:rsidRPr="007E26E1">
                                <w:rPr>
                                  <w:color w:val="276E8B"/>
                                  <w:sz w:val="64"/>
                                  <w:szCs w:val="64"/>
                                </w:rPr>
                                <w:t>Readiness and Preparatory Support</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19B43822" w14:textId="25FFE488" w:rsidR="0090590C" w:rsidRDefault="0048348F">
                              <w:r>
                                <w:rPr>
                                  <w:color w:val="404040" w:themeColor="text1" w:themeTint="BF"/>
                                  <w:sz w:val="36"/>
                                  <w:szCs w:val="36"/>
                                </w:rPr>
                                <w:t>Proposal Template</w:t>
                              </w:r>
                            </w:p>
                          </w:sdtContent>
                        </w:sdt>
                      </w:txbxContent>
                    </v:textbox>
                    <w10:wrap type="square" anchorx="page" anchory="page"/>
                  </v:shape>
                </w:pict>
              </mc:Fallback>
            </mc:AlternateContent>
          </w:r>
          <w:r w:rsidR="009F644E">
            <w:rPr>
              <w:noProof/>
            </w:rPr>
            <w:drawing>
              <wp:anchor distT="0" distB="0" distL="114300" distR="114300" simplePos="0" relativeHeight="251658241" behindDoc="1" locked="0" layoutInCell="1" allowOverlap="1" wp14:anchorId="70520E6B" wp14:editId="17001A95">
                <wp:simplePos x="0" y="0"/>
                <wp:positionH relativeFrom="page">
                  <wp:posOffset>9525</wp:posOffset>
                </wp:positionH>
                <wp:positionV relativeFrom="page">
                  <wp:posOffset>19050</wp:posOffset>
                </wp:positionV>
                <wp:extent cx="7538400" cy="10652400"/>
                <wp:effectExtent l="0" t="0" r="5715" b="3175"/>
                <wp:wrapNone/>
                <wp:docPr id="2" name="Picture 2" descr="A picture containing text, businesscar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p w14:paraId="4EA0737B" w14:textId="15F43672" w:rsidR="00F65A42" w:rsidRDefault="00F65A42">
          <w:r>
            <w:br w:type="page"/>
          </w:r>
        </w:p>
      </w:sdtContent>
    </w:sdt>
    <w:p w14:paraId="29853C96" w14:textId="7205D758" w:rsidR="006B15C2" w:rsidRPr="00480AFC" w:rsidRDefault="006B15C2" w:rsidP="00480AFC">
      <w:pPr>
        <w:sectPr w:rsidR="006B15C2" w:rsidRPr="00480AFC" w:rsidSect="009F644E">
          <w:headerReference w:type="even" r:id="rId13"/>
          <w:headerReference w:type="default" r:id="rId14"/>
          <w:footerReference w:type="even" r:id="rId15"/>
          <w:footerReference w:type="default" r:id="rId16"/>
          <w:pgSz w:w="11900" w:h="16820"/>
          <w:pgMar w:top="1440" w:right="1440" w:bottom="1440" w:left="1440" w:header="720" w:footer="720" w:gutter="0"/>
          <w:cols w:space="720"/>
          <w:titlePg/>
          <w:docGrid w:linePitch="360"/>
        </w:sectPr>
      </w:pPr>
    </w:p>
    <w:p w14:paraId="4F65E938" w14:textId="79A98D9E" w:rsidR="001A76A4" w:rsidRDefault="001A76A4" w:rsidP="001A76A4">
      <w:pPr>
        <w:pStyle w:val="Heading3"/>
      </w:pPr>
      <w:r w:rsidRPr="003B6512">
        <w:lastRenderedPageBreak/>
        <w:t>Section 1. Summary (</w:t>
      </w:r>
      <w:r w:rsidRPr="00DA0893">
        <w:rPr>
          <w:b w:val="0"/>
          <w:bCs w:val="0"/>
          <w:i/>
          <w:iCs/>
          <w:u w:val="single"/>
        </w:rPr>
        <w:t>indicative</w:t>
      </w:r>
      <w:r w:rsidRPr="003B6512">
        <w:t xml:space="preserve"> maximum length: three pages)</w:t>
      </w:r>
    </w:p>
    <w:tbl>
      <w:tblPr>
        <w:tblW w:w="9508" w:type="dxa"/>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556"/>
        <w:gridCol w:w="2664"/>
        <w:gridCol w:w="2001"/>
        <w:gridCol w:w="2272"/>
        <w:gridCol w:w="15"/>
      </w:tblGrid>
      <w:tr w:rsidR="00BE074B" w:rsidRPr="00E65BBE" w14:paraId="17525839" w14:textId="77777777" w:rsidTr="009F49EE">
        <w:trPr>
          <w:trHeight w:val="144"/>
        </w:trPr>
        <w:tc>
          <w:tcPr>
            <w:tcW w:w="2556" w:type="dxa"/>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tcPr>
          <w:p w14:paraId="2C47A9D1" w14:textId="7FB5A297" w:rsidR="00DE58F2" w:rsidRPr="00E65BBE" w:rsidRDefault="004D402F" w:rsidP="00163FD5">
            <w:pPr>
              <w:pStyle w:val="ListParagraph"/>
              <w:numPr>
                <w:ilvl w:val="1"/>
                <w:numId w:val="2"/>
              </w:numPr>
              <w:shd w:val="clear" w:color="auto" w:fill="D9D9D9" w:themeFill="background1" w:themeFillShade="D9"/>
              <w:tabs>
                <w:tab w:val="left" w:pos="456"/>
                <w:tab w:val="left" w:pos="7200"/>
              </w:tabs>
              <w:ind w:left="456" w:hanging="511"/>
              <w:rPr>
                <w:rFonts w:cstheme="minorHAnsi"/>
                <w:b/>
                <w:bCs/>
                <w:color w:val="079F48"/>
                <w:sz w:val="20"/>
                <w:szCs w:val="20"/>
              </w:rPr>
            </w:pPr>
            <w:r w:rsidRPr="00E04AEC">
              <w:rPr>
                <w:rFonts w:cstheme="minorHAnsi"/>
                <w:b/>
                <w:color w:val="276E8B" w:themeColor="accent1" w:themeShade="BF"/>
                <w:sz w:val="20"/>
                <w:szCs w:val="20"/>
              </w:rPr>
              <w:t>Country(ies) submitting the proposal</w:t>
            </w: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44A79D6" w14:textId="77777777" w:rsidR="00DE58F2" w:rsidRPr="00E65BBE" w:rsidRDefault="00DE58F2" w:rsidP="00A56414">
            <w:pPr>
              <w:spacing w:before="120" w:after="120" w:line="240" w:lineRule="auto"/>
              <w:rPr>
                <w:rFonts w:cstheme="minorHAnsi"/>
                <w:sz w:val="20"/>
                <w:szCs w:val="20"/>
              </w:rPr>
            </w:pPr>
            <w:r w:rsidRPr="00E65BBE">
              <w:rPr>
                <w:rFonts w:cstheme="minorHAnsi"/>
                <w:sz w:val="20"/>
                <w:szCs w:val="20"/>
              </w:rPr>
              <w:t>Country name:</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830E873" w14:textId="0A570670" w:rsidR="00DE58F2" w:rsidRPr="00B64F85" w:rsidRDefault="006901ED" w:rsidP="00556639">
            <w:pPr>
              <w:spacing w:before="120" w:after="120" w:line="240" w:lineRule="auto"/>
              <w:ind w:left="36" w:right="-29"/>
              <w:rPr>
                <w:rFonts w:ascii="Arial" w:hAnsi="Arial" w:cstheme="minorHAnsi"/>
                <w:color w:val="000000" w:themeColor="text1"/>
                <w:sz w:val="20"/>
                <w:szCs w:val="20"/>
              </w:rPr>
            </w:pPr>
            <w:r w:rsidRPr="00B64F85">
              <w:rPr>
                <w:rStyle w:val="DefaultText"/>
                <w:color w:val="000000" w:themeColor="text1"/>
              </w:rPr>
              <w:t>Kyrgyz Republic</w:t>
            </w:r>
          </w:p>
          <w:p w14:paraId="644FD013" w14:textId="77777777" w:rsidR="0012708A" w:rsidRPr="00B64F85" w:rsidRDefault="0012708A" w:rsidP="00556639">
            <w:pPr>
              <w:spacing w:before="120" w:after="120" w:line="240" w:lineRule="auto"/>
              <w:ind w:left="36" w:right="-29"/>
              <w:rPr>
                <w:rStyle w:val="DefaultText"/>
                <w:color w:val="000000" w:themeColor="text1"/>
              </w:rPr>
            </w:pPr>
          </w:p>
        </w:tc>
      </w:tr>
      <w:tr w:rsidR="00DE58F2" w:rsidRPr="00E65BBE" w14:paraId="43C0BC1F" w14:textId="77777777" w:rsidTr="009F49EE">
        <w:trPr>
          <w:trHeight w:val="144"/>
        </w:trPr>
        <w:tc>
          <w:tcPr>
            <w:tcW w:w="2556" w:type="dxa"/>
            <w:vMerge/>
            <w:noWrap/>
          </w:tcPr>
          <w:p w14:paraId="4D0F5162" w14:textId="77777777" w:rsidR="00DE58F2" w:rsidRPr="00E65BBE" w:rsidRDefault="00DE58F2" w:rsidP="003E089D">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FB1EBCD" w14:textId="77777777" w:rsidR="00DE58F2" w:rsidRPr="00E65BBE" w:rsidRDefault="00DE58F2" w:rsidP="00A56414">
            <w:pPr>
              <w:spacing w:before="120" w:after="120" w:line="240" w:lineRule="auto"/>
              <w:rPr>
                <w:rFonts w:cstheme="minorHAnsi"/>
                <w:sz w:val="20"/>
                <w:szCs w:val="20"/>
              </w:rPr>
            </w:pPr>
            <w:r w:rsidRPr="00E65BBE">
              <w:rPr>
                <w:rFonts w:cstheme="minorHAnsi"/>
                <w:sz w:val="20"/>
                <w:szCs w:val="20"/>
              </w:rPr>
              <w:t>Name of institution representing NDA or Focal Point:</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7AFF116" w14:textId="6D897DBE" w:rsidR="00DE58F2" w:rsidRPr="00B64F85" w:rsidRDefault="006901ED" w:rsidP="00556639">
            <w:pPr>
              <w:spacing w:before="120" w:after="120" w:line="240" w:lineRule="auto"/>
              <w:ind w:left="36" w:right="-29"/>
              <w:rPr>
                <w:rFonts w:ascii="Arial" w:hAnsi="Arial" w:cstheme="minorHAnsi"/>
                <w:color w:val="000000" w:themeColor="text1"/>
                <w:sz w:val="20"/>
                <w:szCs w:val="20"/>
              </w:rPr>
            </w:pPr>
            <w:r w:rsidRPr="00B64F85">
              <w:rPr>
                <w:rStyle w:val="DefaultText"/>
                <w:color w:val="000000" w:themeColor="text1"/>
              </w:rPr>
              <w:t>Ministry of Natural Resources, Ecology and Technical Supervision of the Kyrgyz Republic</w:t>
            </w:r>
          </w:p>
          <w:p w14:paraId="74067EEF" w14:textId="77777777" w:rsidR="0012708A" w:rsidRPr="00B64F85" w:rsidRDefault="0012708A" w:rsidP="00556639">
            <w:pPr>
              <w:spacing w:before="120" w:after="120" w:line="240" w:lineRule="auto"/>
              <w:ind w:left="36" w:right="-29"/>
              <w:rPr>
                <w:rStyle w:val="DefaultText"/>
                <w:color w:val="000000" w:themeColor="text1"/>
              </w:rPr>
            </w:pPr>
          </w:p>
        </w:tc>
      </w:tr>
      <w:tr w:rsidR="00556639" w:rsidRPr="00E65BBE" w14:paraId="6BA25358" w14:textId="77777777" w:rsidTr="009F49EE">
        <w:trPr>
          <w:trHeight w:val="144"/>
        </w:trPr>
        <w:tc>
          <w:tcPr>
            <w:tcW w:w="2556" w:type="dxa"/>
            <w:vMerge/>
            <w:noWrap/>
          </w:tcPr>
          <w:p w14:paraId="53FDD703"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C2E818E" w14:textId="77777777" w:rsidR="00556639" w:rsidRPr="00E65BBE" w:rsidRDefault="00556639" w:rsidP="00A56414">
            <w:pPr>
              <w:spacing w:before="120" w:after="120" w:line="240" w:lineRule="auto"/>
              <w:rPr>
                <w:rFonts w:cstheme="minorHAnsi"/>
                <w:sz w:val="20"/>
                <w:szCs w:val="20"/>
              </w:rPr>
            </w:pPr>
            <w:r w:rsidRPr="00E65BBE">
              <w:rPr>
                <w:rFonts w:cstheme="minorHAnsi"/>
                <w:sz w:val="20"/>
                <w:szCs w:val="20"/>
              </w:rPr>
              <w:t>Name of contact person:</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2F2CFAE8" w14:textId="20957F8B" w:rsidR="00556639" w:rsidRPr="00B64F85" w:rsidRDefault="006901ED" w:rsidP="00556639">
            <w:pPr>
              <w:spacing w:before="120" w:after="120" w:line="240" w:lineRule="auto"/>
              <w:ind w:left="36" w:right="-29"/>
              <w:rPr>
                <w:rFonts w:cstheme="minorHAnsi"/>
                <w:color w:val="000000" w:themeColor="text1"/>
                <w:sz w:val="20"/>
                <w:szCs w:val="20"/>
              </w:rPr>
            </w:pPr>
            <w:r w:rsidRPr="00B64F85">
              <w:rPr>
                <w:rStyle w:val="DefaultText"/>
                <w:color w:val="000000" w:themeColor="text1"/>
              </w:rPr>
              <w:t>Ms. Aizada Barieva</w:t>
            </w:r>
          </w:p>
          <w:p w14:paraId="41348257" w14:textId="77777777" w:rsidR="0012708A" w:rsidRPr="00B64F85" w:rsidRDefault="0012708A" w:rsidP="00556639">
            <w:pPr>
              <w:spacing w:before="120" w:after="120" w:line="240" w:lineRule="auto"/>
              <w:ind w:left="36" w:right="-29"/>
              <w:rPr>
                <w:rStyle w:val="DefaultText"/>
                <w:color w:val="000000" w:themeColor="text1"/>
              </w:rPr>
            </w:pPr>
          </w:p>
        </w:tc>
      </w:tr>
      <w:tr w:rsidR="00556639" w:rsidRPr="00E65BBE" w14:paraId="41B81718" w14:textId="77777777" w:rsidTr="009F49EE">
        <w:trPr>
          <w:trHeight w:val="144"/>
        </w:trPr>
        <w:tc>
          <w:tcPr>
            <w:tcW w:w="2556" w:type="dxa"/>
            <w:vMerge/>
            <w:noWrap/>
          </w:tcPr>
          <w:p w14:paraId="4D645898"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DA7A25A" w14:textId="77777777" w:rsidR="00556639" w:rsidRPr="00E65BBE" w:rsidRDefault="00556639" w:rsidP="00A56414">
            <w:pPr>
              <w:spacing w:before="120" w:after="120" w:line="240" w:lineRule="auto"/>
              <w:rPr>
                <w:rFonts w:cstheme="minorHAnsi"/>
                <w:sz w:val="20"/>
                <w:szCs w:val="20"/>
              </w:rPr>
            </w:pPr>
            <w:r w:rsidRPr="00E65BBE">
              <w:rPr>
                <w:rFonts w:cstheme="minorHAnsi"/>
                <w:sz w:val="20"/>
                <w:szCs w:val="20"/>
              </w:rPr>
              <w:t>Contact person’s position:</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30C1616" w14:textId="5FE6ECC0" w:rsidR="00556639" w:rsidRPr="00B64F85" w:rsidRDefault="006901ED" w:rsidP="00556639">
            <w:pPr>
              <w:spacing w:before="120" w:after="120" w:line="240" w:lineRule="auto"/>
              <w:ind w:left="36" w:right="-29"/>
              <w:rPr>
                <w:rFonts w:cstheme="minorHAnsi"/>
                <w:color w:val="000000" w:themeColor="text1"/>
                <w:sz w:val="20"/>
                <w:szCs w:val="20"/>
              </w:rPr>
            </w:pPr>
            <w:r w:rsidRPr="00B64F85">
              <w:rPr>
                <w:rStyle w:val="DefaultText"/>
                <w:color w:val="000000" w:themeColor="text1"/>
              </w:rPr>
              <w:t>Head of Climate Change Department</w:t>
            </w:r>
          </w:p>
          <w:p w14:paraId="4589612D" w14:textId="77777777" w:rsidR="0012708A" w:rsidRPr="00B64F85" w:rsidRDefault="0012708A" w:rsidP="00556639">
            <w:pPr>
              <w:spacing w:before="120" w:after="120" w:line="240" w:lineRule="auto"/>
              <w:ind w:left="36" w:right="-29"/>
              <w:rPr>
                <w:rStyle w:val="DefaultText"/>
                <w:color w:val="000000" w:themeColor="text1"/>
              </w:rPr>
            </w:pPr>
          </w:p>
        </w:tc>
      </w:tr>
      <w:tr w:rsidR="00556639" w:rsidRPr="00E65BBE" w14:paraId="54653DDD" w14:textId="77777777" w:rsidTr="009F49EE">
        <w:trPr>
          <w:trHeight w:val="144"/>
        </w:trPr>
        <w:tc>
          <w:tcPr>
            <w:tcW w:w="2556" w:type="dxa"/>
            <w:vMerge/>
            <w:noWrap/>
          </w:tcPr>
          <w:p w14:paraId="4E5ACA09"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0C059EB4" w14:textId="77777777" w:rsidR="00556639" w:rsidRPr="00E65BBE" w:rsidRDefault="00556639" w:rsidP="00A56414">
            <w:pPr>
              <w:spacing w:before="120" w:after="120" w:line="240" w:lineRule="auto"/>
              <w:rPr>
                <w:rFonts w:cstheme="minorHAnsi"/>
                <w:sz w:val="20"/>
                <w:szCs w:val="20"/>
              </w:rPr>
            </w:pPr>
            <w:r w:rsidRPr="00E65BBE">
              <w:rPr>
                <w:rFonts w:cstheme="minorHAnsi"/>
                <w:sz w:val="20"/>
                <w:szCs w:val="20"/>
              </w:rPr>
              <w:t>Telephone number:</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EA6144A" w14:textId="523D931D" w:rsidR="00556639" w:rsidRPr="00B64F85" w:rsidRDefault="006901ED" w:rsidP="00556639">
            <w:pPr>
              <w:spacing w:before="120" w:after="120" w:line="240" w:lineRule="auto"/>
              <w:ind w:left="36" w:right="-29"/>
              <w:rPr>
                <w:rFonts w:cstheme="minorHAnsi"/>
                <w:color w:val="000000" w:themeColor="text1"/>
                <w:sz w:val="20"/>
                <w:szCs w:val="20"/>
              </w:rPr>
            </w:pPr>
            <w:r w:rsidRPr="00B64F85">
              <w:rPr>
                <w:rStyle w:val="DefaultText"/>
                <w:color w:val="000000" w:themeColor="text1"/>
              </w:rPr>
              <w:t>+996-550-159-922</w:t>
            </w:r>
          </w:p>
          <w:p w14:paraId="71C4633D" w14:textId="77777777" w:rsidR="0012708A" w:rsidRPr="00B64F85" w:rsidRDefault="0012708A" w:rsidP="00556639">
            <w:pPr>
              <w:spacing w:before="120" w:after="120" w:line="240" w:lineRule="auto"/>
              <w:ind w:left="36" w:right="-29"/>
              <w:rPr>
                <w:rStyle w:val="DefaultText"/>
                <w:color w:val="000000" w:themeColor="text1"/>
              </w:rPr>
            </w:pPr>
          </w:p>
        </w:tc>
      </w:tr>
      <w:tr w:rsidR="00556639" w:rsidRPr="00E65BBE" w14:paraId="33716BC0" w14:textId="77777777" w:rsidTr="009F49EE">
        <w:trPr>
          <w:trHeight w:val="144"/>
        </w:trPr>
        <w:tc>
          <w:tcPr>
            <w:tcW w:w="2556" w:type="dxa"/>
            <w:vMerge/>
            <w:noWrap/>
          </w:tcPr>
          <w:p w14:paraId="4B031F1A"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51CCFDCA" w14:textId="77777777" w:rsidR="00556639" w:rsidRPr="00E65BBE" w:rsidRDefault="00556639" w:rsidP="00A56414">
            <w:pPr>
              <w:spacing w:before="120" w:after="120" w:line="240" w:lineRule="auto"/>
              <w:rPr>
                <w:rFonts w:cstheme="minorHAnsi"/>
                <w:sz w:val="20"/>
                <w:szCs w:val="20"/>
              </w:rPr>
            </w:pPr>
            <w:r w:rsidRPr="00E65BBE">
              <w:rPr>
                <w:rFonts w:cstheme="minorHAnsi"/>
                <w:sz w:val="20"/>
                <w:szCs w:val="20"/>
              </w:rPr>
              <w:t>Email:</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03103F4" w14:textId="21EA52CF" w:rsidR="00556639" w:rsidRPr="00B64F85" w:rsidRDefault="006901ED" w:rsidP="00556639">
            <w:pPr>
              <w:spacing w:before="120" w:after="120" w:line="240" w:lineRule="auto"/>
              <w:ind w:left="36" w:right="-29"/>
              <w:rPr>
                <w:rFonts w:cstheme="minorHAnsi"/>
                <w:color w:val="000000" w:themeColor="text1"/>
                <w:sz w:val="20"/>
                <w:szCs w:val="20"/>
              </w:rPr>
            </w:pPr>
            <w:r w:rsidRPr="00B64F85">
              <w:rPr>
                <w:rStyle w:val="DefaultText"/>
                <w:color w:val="000000" w:themeColor="text1"/>
              </w:rPr>
              <w:t>climate@mnr.gov.kg</w:t>
            </w:r>
          </w:p>
          <w:p w14:paraId="5293176F" w14:textId="77777777" w:rsidR="0012708A" w:rsidRPr="00B64F85" w:rsidRDefault="0012708A" w:rsidP="00556639">
            <w:pPr>
              <w:spacing w:before="120" w:after="120" w:line="240" w:lineRule="auto"/>
              <w:ind w:left="36" w:right="-29"/>
              <w:rPr>
                <w:rStyle w:val="DefaultText"/>
                <w:color w:val="000000" w:themeColor="text1"/>
              </w:rPr>
            </w:pPr>
          </w:p>
        </w:tc>
      </w:tr>
      <w:tr w:rsidR="00556639" w:rsidRPr="00E65BBE" w14:paraId="3DC3881C" w14:textId="77777777" w:rsidTr="009F49EE">
        <w:trPr>
          <w:trHeight w:val="144"/>
        </w:trPr>
        <w:tc>
          <w:tcPr>
            <w:tcW w:w="2556" w:type="dxa"/>
            <w:vMerge/>
            <w:noWrap/>
          </w:tcPr>
          <w:p w14:paraId="213F82DD"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1C8C1129" w14:textId="77777777" w:rsidR="00556639" w:rsidRPr="00E65BBE" w:rsidRDefault="00556639" w:rsidP="00A56414">
            <w:pPr>
              <w:spacing w:before="120" w:after="120" w:line="240" w:lineRule="auto"/>
              <w:rPr>
                <w:rFonts w:cstheme="minorHAnsi"/>
                <w:sz w:val="20"/>
                <w:szCs w:val="20"/>
              </w:rPr>
            </w:pPr>
            <w:r w:rsidRPr="00E65BBE">
              <w:rPr>
                <w:rFonts w:cstheme="minorHAnsi"/>
                <w:sz w:val="20"/>
                <w:szCs w:val="20"/>
              </w:rPr>
              <w:t>Full office address:</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447B0033" w14:textId="14E087ED" w:rsidR="00556639" w:rsidRPr="00B64F85" w:rsidRDefault="006901ED" w:rsidP="00556639">
            <w:pPr>
              <w:spacing w:before="120" w:after="120" w:line="240" w:lineRule="auto"/>
              <w:ind w:left="36" w:right="-29"/>
              <w:rPr>
                <w:rFonts w:cstheme="minorHAnsi"/>
                <w:color w:val="000000" w:themeColor="text1"/>
                <w:sz w:val="20"/>
                <w:szCs w:val="20"/>
              </w:rPr>
            </w:pPr>
            <w:r w:rsidRPr="00B64F85">
              <w:rPr>
                <w:rStyle w:val="DefaultText"/>
                <w:color w:val="000000" w:themeColor="text1"/>
              </w:rPr>
              <w:t>Erkindik street, N2, Bishkek, Kyrgyzstan</w:t>
            </w:r>
          </w:p>
          <w:p w14:paraId="3A990DF0" w14:textId="77777777" w:rsidR="0012708A" w:rsidRPr="00B64F85" w:rsidRDefault="0012708A" w:rsidP="00556639">
            <w:pPr>
              <w:spacing w:before="120" w:after="120" w:line="240" w:lineRule="auto"/>
              <w:ind w:left="36" w:right="-29"/>
              <w:rPr>
                <w:rStyle w:val="DefaultText"/>
                <w:color w:val="000000" w:themeColor="text1"/>
              </w:rPr>
            </w:pPr>
          </w:p>
        </w:tc>
      </w:tr>
      <w:tr w:rsidR="00556639" w:rsidRPr="00E65BBE" w14:paraId="5D33A968" w14:textId="77777777" w:rsidTr="009F49EE">
        <w:trPr>
          <w:trHeight w:val="144"/>
        </w:trPr>
        <w:tc>
          <w:tcPr>
            <w:tcW w:w="2556" w:type="dxa"/>
            <w:vMerge/>
            <w:noWrap/>
          </w:tcPr>
          <w:p w14:paraId="11495D03"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tcPr>
          <w:p w14:paraId="4681F077" w14:textId="77777777" w:rsidR="00556639" w:rsidRPr="00E65BBE" w:rsidRDefault="00556639" w:rsidP="00A56414">
            <w:pPr>
              <w:spacing w:before="120" w:after="120" w:line="240" w:lineRule="auto"/>
              <w:rPr>
                <w:rFonts w:cstheme="minorHAnsi"/>
                <w:sz w:val="20"/>
                <w:szCs w:val="20"/>
              </w:rPr>
            </w:pPr>
            <w:r w:rsidRPr="00E65BBE">
              <w:rPr>
                <w:rFonts w:cstheme="minorHAnsi"/>
                <w:sz w:val="20"/>
                <w:szCs w:val="20"/>
              </w:rPr>
              <w:t xml:space="preserve">Additional email addresses that need to be copied on </w:t>
            </w:r>
            <w:r>
              <w:rPr>
                <w:rFonts w:cstheme="minorHAnsi"/>
                <w:sz w:val="20"/>
                <w:szCs w:val="20"/>
              </w:rPr>
              <w:t>c</w:t>
            </w:r>
            <w:r w:rsidRPr="00E65BBE">
              <w:rPr>
                <w:rFonts w:cstheme="minorHAnsi"/>
                <w:sz w:val="20"/>
                <w:szCs w:val="20"/>
              </w:rPr>
              <w:t>orrespondences:</w:t>
            </w:r>
          </w:p>
        </w:tc>
        <w:tc>
          <w:tcPr>
            <w:tcW w:w="4288" w:type="dxa"/>
            <w:gridSpan w:val="3"/>
            <w:tcBorders>
              <w:top w:val="single" w:sz="12" w:space="0" w:color="FFFFFF" w:themeColor="background1"/>
              <w:left w:val="single" w:sz="12" w:space="0" w:color="FFFFFF" w:themeColor="background1"/>
              <w:bottom w:val="single" w:sz="12" w:space="0" w:color="FFFFFF" w:themeColor="background1"/>
            </w:tcBorders>
            <w:shd w:val="clear" w:color="auto" w:fill="auto"/>
            <w:vAlign w:val="center"/>
          </w:tcPr>
          <w:p w14:paraId="01F2DDCD" w14:textId="1DA04E58" w:rsidR="00556639" w:rsidRPr="00B64F85" w:rsidRDefault="006901ED" w:rsidP="00556639">
            <w:pPr>
              <w:spacing w:before="120" w:after="120" w:line="240" w:lineRule="auto"/>
              <w:ind w:left="36" w:right="-29"/>
              <w:rPr>
                <w:rFonts w:cstheme="minorHAnsi"/>
                <w:color w:val="000000" w:themeColor="text1"/>
                <w:sz w:val="20"/>
                <w:szCs w:val="20"/>
              </w:rPr>
            </w:pPr>
            <w:r w:rsidRPr="00B64F85">
              <w:rPr>
                <w:rStyle w:val="DefaultText"/>
                <w:color w:val="000000" w:themeColor="text1"/>
              </w:rPr>
              <w:t>aizada.barieva@gmail.com</w:t>
            </w:r>
          </w:p>
          <w:p w14:paraId="34B2C932" w14:textId="77777777" w:rsidR="0012708A" w:rsidRPr="00B64F85" w:rsidRDefault="0012708A" w:rsidP="00556639">
            <w:pPr>
              <w:spacing w:before="120" w:after="120" w:line="240" w:lineRule="auto"/>
              <w:ind w:left="36" w:right="-29"/>
              <w:rPr>
                <w:rStyle w:val="DefaultText"/>
                <w:color w:val="000000" w:themeColor="text1"/>
              </w:rPr>
            </w:pPr>
          </w:p>
        </w:tc>
      </w:tr>
      <w:tr w:rsidR="00556639" w:rsidRPr="00E65BBE" w14:paraId="1D60D56B" w14:textId="77777777" w:rsidTr="739BB9BC">
        <w:trPr>
          <w:gridAfter w:val="1"/>
          <w:wAfter w:w="15" w:type="dxa"/>
          <w:trHeight w:val="144"/>
        </w:trPr>
        <w:tc>
          <w:tcPr>
            <w:tcW w:w="2556" w:type="dxa"/>
            <w:tcBorders>
              <w:top w:val="single" w:sz="12" w:space="0" w:color="FFFFFF" w:themeColor="background1"/>
            </w:tcBorders>
            <w:shd w:val="clear" w:color="auto" w:fill="D9D9D9" w:themeFill="background1" w:themeFillShade="D9"/>
            <w:noWrap/>
          </w:tcPr>
          <w:p w14:paraId="21F6F3DF" w14:textId="7F20D13C" w:rsidR="00556639" w:rsidRPr="00E04AEC" w:rsidRDefault="00556639" w:rsidP="00163FD5">
            <w:pPr>
              <w:pStyle w:val="ListParagraph"/>
              <w:numPr>
                <w:ilvl w:val="1"/>
                <w:numId w:val="2"/>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Date of initial submission</w:t>
            </w:r>
          </w:p>
        </w:tc>
        <w:tc>
          <w:tcPr>
            <w:tcW w:w="6937" w:type="dxa"/>
            <w:gridSpan w:val="3"/>
            <w:tcBorders>
              <w:top w:val="single" w:sz="12" w:space="0" w:color="FFFFFF" w:themeColor="background1"/>
            </w:tcBorders>
            <w:shd w:val="clear" w:color="auto" w:fill="auto"/>
            <w:noWrap/>
            <w:vAlign w:val="center"/>
          </w:tcPr>
          <w:sdt>
            <w:sdtPr>
              <w:rPr>
                <w:rFonts w:eastAsia="Times New Roman" w:cstheme="minorHAnsi"/>
                <w:bCs/>
                <w:sz w:val="20"/>
                <w:szCs w:val="20"/>
                <w:lang w:val="en-GB" w:eastAsia="en-GB"/>
              </w:rPr>
              <w:id w:val="-1988168585"/>
              <w:placeholder>
                <w:docPart w:val="9D93C02E9E774F0F847F170C8B88AAD1"/>
              </w:placeholder>
              <w:date w:fullDate="2024-12-18T00:00:00Z">
                <w:dateFormat w:val="d MMMM yyyy"/>
                <w:lid w:val="en-US"/>
                <w:storeMappedDataAs w:val="dateTime"/>
                <w:calendar w:val="gregorian"/>
              </w:date>
            </w:sdtPr>
            <w:sdtEndPr/>
            <w:sdtContent>
              <w:p w14:paraId="19F66A83" w14:textId="798BE6B7" w:rsidR="00556639" w:rsidRPr="00662332" w:rsidRDefault="00662332" w:rsidP="00556639">
                <w:pPr>
                  <w:spacing w:before="120" w:after="120" w:line="240" w:lineRule="auto"/>
                  <w:ind w:right="-29"/>
                  <w:rPr>
                    <w:rFonts w:eastAsia="Times New Roman" w:cstheme="minorHAnsi"/>
                    <w:bCs/>
                    <w:sz w:val="20"/>
                    <w:szCs w:val="20"/>
                    <w:lang w:val="en-GB" w:eastAsia="en-GB"/>
                  </w:rPr>
                </w:pPr>
                <w:r w:rsidRPr="00837A4F">
                  <w:rPr>
                    <w:rFonts w:eastAsia="Times New Roman" w:cstheme="minorHAnsi"/>
                    <w:bCs/>
                    <w:sz w:val="20"/>
                    <w:szCs w:val="20"/>
                    <w:lang w:eastAsia="en-GB"/>
                  </w:rPr>
                  <w:t>18 December 2024</w:t>
                </w:r>
              </w:p>
            </w:sdtContent>
          </w:sdt>
          <w:p w14:paraId="1A9154EB" w14:textId="77777777" w:rsidR="0012708A" w:rsidRDefault="0012708A" w:rsidP="00556639">
            <w:pPr>
              <w:spacing w:before="120" w:after="120" w:line="240" w:lineRule="auto"/>
              <w:ind w:right="-29"/>
              <w:rPr>
                <w:rFonts w:eastAsia="Times New Roman" w:cstheme="minorHAnsi"/>
                <w:bCs/>
                <w:color w:val="808080" w:themeColor="background1" w:themeShade="80"/>
                <w:sz w:val="20"/>
                <w:szCs w:val="20"/>
                <w:lang w:val="en-GB" w:eastAsia="en-GB"/>
              </w:rPr>
            </w:pPr>
          </w:p>
        </w:tc>
      </w:tr>
      <w:tr w:rsidR="00556639" w:rsidRPr="00E65BBE" w14:paraId="73B7CBCC" w14:textId="77777777" w:rsidTr="009F49EE">
        <w:trPr>
          <w:gridAfter w:val="1"/>
          <w:wAfter w:w="15" w:type="dxa"/>
          <w:trHeight w:val="144"/>
        </w:trPr>
        <w:tc>
          <w:tcPr>
            <w:tcW w:w="2556" w:type="dxa"/>
            <w:shd w:val="clear" w:color="auto" w:fill="D9D9D9" w:themeFill="background1" w:themeFillShade="D9"/>
            <w:noWrap/>
          </w:tcPr>
          <w:p w14:paraId="26E83BB2" w14:textId="0D8F6F29" w:rsidR="00556639" w:rsidRPr="00E04AEC" w:rsidRDefault="00556639" w:rsidP="00163FD5">
            <w:pPr>
              <w:pStyle w:val="ListParagraph"/>
              <w:numPr>
                <w:ilvl w:val="1"/>
                <w:numId w:val="2"/>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Last date of resubmission</w:t>
            </w:r>
          </w:p>
        </w:tc>
        <w:tc>
          <w:tcPr>
            <w:tcW w:w="2664" w:type="dxa"/>
            <w:shd w:val="clear" w:color="auto" w:fill="auto"/>
            <w:vAlign w:val="center"/>
          </w:tcPr>
          <w:p w14:paraId="3646DCA1" w14:textId="07921880" w:rsidR="00556639" w:rsidRPr="00E65BBE" w:rsidRDefault="007C6708" w:rsidP="00556639">
            <w:pPr>
              <w:spacing w:before="120" w:after="120" w:line="240" w:lineRule="auto"/>
              <w:rPr>
                <w:rFonts w:cstheme="minorHAnsi"/>
                <w:sz w:val="20"/>
                <w:szCs w:val="20"/>
              </w:rPr>
            </w:pPr>
            <w:sdt>
              <w:sdtPr>
                <w:rPr>
                  <w:rFonts w:eastAsia="Times New Roman" w:cstheme="minorHAnsi"/>
                  <w:bCs/>
                  <w:sz w:val="20"/>
                  <w:szCs w:val="20"/>
                  <w:lang w:val="en-GB" w:eastAsia="en-GB"/>
                </w:rPr>
                <w:id w:val="-126008353"/>
                <w:placeholder>
                  <w:docPart w:val="50E41C11A6E74CD3BBC9EDF76F48C849"/>
                </w:placeholder>
                <w:date w:fullDate="2024-03-17T00:00:00Z">
                  <w:dateFormat w:val="d MMMM yyyy"/>
                  <w:lid w:val="en-US"/>
                  <w:storeMappedDataAs w:val="dateTime"/>
                  <w:calendar w:val="gregorian"/>
                </w:date>
              </w:sdtPr>
              <w:sdtEndPr/>
              <w:sdtContent>
                <w:r w:rsidR="00662332" w:rsidRPr="00837A4F">
                  <w:rPr>
                    <w:rFonts w:eastAsia="Times New Roman" w:cstheme="minorHAnsi"/>
                    <w:bCs/>
                    <w:sz w:val="20"/>
                    <w:szCs w:val="20"/>
                    <w:lang w:eastAsia="en-GB"/>
                  </w:rPr>
                  <w:t>1</w:t>
                </w:r>
                <w:r>
                  <w:rPr>
                    <w:rFonts w:eastAsia="Times New Roman" w:cstheme="minorHAnsi"/>
                    <w:bCs/>
                    <w:sz w:val="20"/>
                    <w:szCs w:val="20"/>
                    <w:lang w:eastAsia="en-GB"/>
                  </w:rPr>
                  <w:t>7</w:t>
                </w:r>
                <w:r w:rsidR="00662332" w:rsidRPr="00837A4F">
                  <w:rPr>
                    <w:rFonts w:eastAsia="Times New Roman" w:cstheme="minorHAnsi"/>
                    <w:bCs/>
                    <w:sz w:val="20"/>
                    <w:szCs w:val="20"/>
                    <w:lang w:eastAsia="en-GB"/>
                  </w:rPr>
                  <w:t xml:space="preserve"> </w:t>
                </w:r>
                <w:r>
                  <w:rPr>
                    <w:rFonts w:eastAsia="Times New Roman" w:cstheme="minorHAnsi"/>
                    <w:bCs/>
                    <w:sz w:val="20"/>
                    <w:szCs w:val="20"/>
                    <w:lang w:eastAsia="en-GB"/>
                  </w:rPr>
                  <w:t>March</w:t>
                </w:r>
                <w:r w:rsidR="00662332" w:rsidRPr="00837A4F">
                  <w:rPr>
                    <w:rFonts w:eastAsia="Times New Roman" w:cstheme="minorHAnsi"/>
                    <w:bCs/>
                    <w:sz w:val="20"/>
                    <w:szCs w:val="20"/>
                    <w:lang w:eastAsia="en-GB"/>
                  </w:rPr>
                  <w:t xml:space="preserve"> 2024</w:t>
                </w:r>
              </w:sdtContent>
            </w:sdt>
            <w:r w:rsidR="00556639" w:rsidRPr="00E65BBE">
              <w:rPr>
                <w:rFonts w:eastAsia="Times New Roman" w:cstheme="minorHAnsi"/>
                <w:bCs/>
                <w:color w:val="808080" w:themeColor="background1" w:themeShade="80"/>
                <w:sz w:val="20"/>
                <w:szCs w:val="20"/>
                <w:lang w:val="en-GB" w:eastAsia="en-GB"/>
              </w:rPr>
              <w:t xml:space="preserve"> </w:t>
            </w:r>
          </w:p>
        </w:tc>
        <w:tc>
          <w:tcPr>
            <w:tcW w:w="2001" w:type="dxa"/>
            <w:shd w:val="clear" w:color="auto" w:fill="auto"/>
            <w:vAlign w:val="center"/>
          </w:tcPr>
          <w:p w14:paraId="578AD278" w14:textId="77777777" w:rsidR="00556639" w:rsidRPr="00E04AEC" w:rsidRDefault="00556639" w:rsidP="00556639">
            <w:pPr>
              <w:spacing w:before="120" w:after="120" w:line="240" w:lineRule="auto"/>
              <w:ind w:right="-112" w:firstLine="36"/>
              <w:rPr>
                <w:rFonts w:cstheme="minorHAnsi"/>
                <w:color w:val="276E8B" w:themeColor="accent1" w:themeShade="BF"/>
                <w:sz w:val="20"/>
                <w:szCs w:val="20"/>
              </w:rPr>
            </w:pPr>
            <w:r w:rsidRPr="00E04AEC">
              <w:rPr>
                <w:rFonts w:eastAsia="Times New Roman" w:cstheme="minorHAnsi"/>
                <w:b/>
                <w:color w:val="276E8B" w:themeColor="accent1" w:themeShade="BF"/>
                <w:sz w:val="20"/>
                <w:szCs w:val="20"/>
                <w:lang w:eastAsia="ja-JP"/>
              </w:rPr>
              <w:t>Version number</w:t>
            </w:r>
          </w:p>
        </w:tc>
        <w:tc>
          <w:tcPr>
            <w:tcW w:w="2272" w:type="dxa"/>
            <w:shd w:val="clear" w:color="auto" w:fill="auto"/>
            <w:vAlign w:val="center"/>
          </w:tcPr>
          <w:p w14:paraId="03B93876" w14:textId="056B2C14" w:rsidR="00556639" w:rsidRPr="00E65BBE" w:rsidRDefault="00556639" w:rsidP="00556639">
            <w:pPr>
              <w:spacing w:before="120" w:after="120" w:line="240" w:lineRule="auto"/>
              <w:ind w:right="-29"/>
              <w:rPr>
                <w:rFonts w:cstheme="minorHAnsi"/>
                <w:sz w:val="20"/>
                <w:szCs w:val="20"/>
              </w:rPr>
            </w:pPr>
            <w:r w:rsidRPr="00E65BBE">
              <w:rPr>
                <w:rFonts w:eastAsia="Times New Roman" w:cstheme="minorHAnsi"/>
                <w:bCs/>
                <w:color w:val="808080" w:themeColor="background1" w:themeShade="80"/>
                <w:sz w:val="20"/>
                <w:szCs w:val="20"/>
                <w:lang w:val="en-GB" w:eastAsia="en-GB"/>
              </w:rPr>
              <w:t>V.</w:t>
            </w:r>
            <w:r w:rsidR="004F4FCE">
              <w:rPr>
                <w:rFonts w:eastAsia="Times New Roman" w:cstheme="minorHAnsi"/>
                <w:bCs/>
                <w:color w:val="808080" w:themeColor="background1" w:themeShade="80"/>
                <w:sz w:val="20"/>
                <w:szCs w:val="20"/>
                <w:lang w:val="en-GB" w:eastAsia="en-GB"/>
              </w:rPr>
              <w:t xml:space="preserve"> </w:t>
            </w:r>
            <w:sdt>
              <w:sdtPr>
                <w:rPr>
                  <w:rFonts w:cstheme="minorHAnsi"/>
                  <w:sz w:val="20"/>
                  <w:szCs w:val="20"/>
                </w:rPr>
                <w:alias w:val="#"/>
                <w:tag w:val="#"/>
                <w:id w:val="869735431"/>
                <w:placeholder>
                  <w:docPart w:val="B6753BEB56034D24BF81C640169A7AB3"/>
                </w:placeholde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comboBox>
              </w:sdtPr>
              <w:sdtEndPr/>
              <w:sdtContent>
                <w:r w:rsidR="007C6708">
                  <w:rPr>
                    <w:rFonts w:cstheme="minorHAnsi"/>
                    <w:sz w:val="20"/>
                    <w:szCs w:val="20"/>
                  </w:rPr>
                  <w:t>2</w:t>
                </w:r>
              </w:sdtContent>
            </w:sdt>
          </w:p>
        </w:tc>
      </w:tr>
      <w:tr w:rsidR="00556639" w:rsidRPr="00E65BBE" w14:paraId="721B6C2F" w14:textId="77777777" w:rsidTr="009E664F">
        <w:trPr>
          <w:gridAfter w:val="1"/>
          <w:wAfter w:w="15" w:type="dxa"/>
          <w:trHeight w:val="160"/>
        </w:trPr>
        <w:tc>
          <w:tcPr>
            <w:tcW w:w="2556" w:type="dxa"/>
            <w:vMerge w:val="restart"/>
            <w:shd w:val="clear" w:color="auto" w:fill="D9D9D9" w:themeFill="background1" w:themeFillShade="D9"/>
            <w:noWrap/>
          </w:tcPr>
          <w:p w14:paraId="0B30DECB" w14:textId="59FB6664" w:rsidR="00556639" w:rsidRPr="00E04AEC" w:rsidRDefault="00556639" w:rsidP="00163FD5">
            <w:pPr>
              <w:pStyle w:val="ListParagraph"/>
              <w:numPr>
                <w:ilvl w:val="1"/>
                <w:numId w:val="2"/>
              </w:numPr>
              <w:shd w:val="clear" w:color="auto" w:fill="D9D9D9" w:themeFill="background1" w:themeFillShade="D9"/>
              <w:tabs>
                <w:tab w:val="left" w:pos="456"/>
                <w:tab w:val="left" w:pos="7200"/>
              </w:tabs>
              <w:ind w:left="456" w:hanging="511"/>
              <w:rPr>
                <w:b/>
                <w:color w:val="276E8B" w:themeColor="accent1" w:themeShade="BF"/>
                <w:sz w:val="20"/>
                <w:szCs w:val="20"/>
              </w:rPr>
            </w:pPr>
            <w:r w:rsidRPr="1310ED3A">
              <w:rPr>
                <w:b/>
                <w:color w:val="276E8B" w:themeColor="accent1" w:themeShade="BF"/>
                <w:sz w:val="20"/>
                <w:szCs w:val="20"/>
              </w:rPr>
              <w:t>Institution that will implement the Readiness grant</w:t>
            </w:r>
          </w:p>
          <w:p w14:paraId="6D125581" w14:textId="0063AEAD" w:rsidR="00556639" w:rsidRPr="00E04AEC" w:rsidRDefault="00556639" w:rsidP="00556639">
            <w:pPr>
              <w:spacing w:before="120" w:after="60" w:line="240" w:lineRule="auto"/>
              <w:ind w:left="72"/>
              <w:rPr>
                <w:rFonts w:eastAsia="Times New Roman" w:cstheme="minorHAnsi"/>
                <w:b/>
                <w:color w:val="276E8B" w:themeColor="accent1" w:themeShade="BF"/>
                <w:sz w:val="20"/>
                <w:szCs w:val="20"/>
                <w:lang w:eastAsia="ja-JP"/>
              </w:rPr>
            </w:pPr>
          </w:p>
        </w:tc>
        <w:tc>
          <w:tcPr>
            <w:tcW w:w="6937" w:type="dxa"/>
            <w:gridSpan w:val="3"/>
            <w:shd w:val="clear" w:color="auto" w:fill="auto"/>
            <w:vAlign w:val="center"/>
          </w:tcPr>
          <w:p w14:paraId="0B626BD6" w14:textId="7F041536" w:rsidR="00B74FF4" w:rsidRPr="00E65BBE" w:rsidRDefault="00B74FF4" w:rsidP="00B74FF4">
            <w:pPr>
              <w:spacing w:after="0" w:line="240" w:lineRule="auto"/>
              <w:rPr>
                <w:rFonts w:cstheme="minorHAnsi"/>
                <w:color w:val="000000"/>
                <w:sz w:val="20"/>
                <w:szCs w:val="20"/>
              </w:rPr>
            </w:pPr>
            <w:r w:rsidRPr="00E65BBE">
              <w:rPr>
                <w:rFonts w:ascii="Segoe UI Symbol" w:eastAsia="MS Gothic" w:hAnsi="Segoe UI Symbol" w:cs="Segoe UI Symbol"/>
                <w:color w:val="000000"/>
                <w:sz w:val="20"/>
                <w:szCs w:val="20"/>
              </w:rPr>
              <w:t>☐</w:t>
            </w:r>
            <w:r w:rsidRPr="00E65BBE">
              <w:rPr>
                <w:rFonts w:cstheme="minorHAnsi"/>
                <w:color w:val="000000"/>
                <w:sz w:val="20"/>
                <w:szCs w:val="20"/>
              </w:rPr>
              <w:t xml:space="preserve"> </w:t>
            </w:r>
            <w:r>
              <w:rPr>
                <w:rFonts w:cstheme="minorHAnsi"/>
                <w:color w:val="000000"/>
                <w:sz w:val="20"/>
                <w:szCs w:val="20"/>
              </w:rPr>
              <w:t>National Designated Authority</w:t>
            </w:r>
          </w:p>
          <w:p w14:paraId="2DFA304B" w14:textId="5A93B7E2" w:rsidR="00556639" w:rsidRPr="001D2BA5" w:rsidRDefault="00771EDB" w:rsidP="001D2BA5">
            <w:pPr>
              <w:spacing w:after="0" w:line="240" w:lineRule="auto"/>
              <w:rPr>
                <w:rFonts w:cstheme="minorHAnsi"/>
                <w:color w:val="000000"/>
                <w:sz w:val="20"/>
                <w:szCs w:val="20"/>
              </w:rPr>
            </w:pPr>
            <w:r>
              <w:rPr>
                <w:rFonts w:ascii="MS Gothic" w:eastAsia="MS Gothic" w:hAnsi="MS Gothic" w:cstheme="minorHAnsi" w:hint="eastAsia"/>
                <w:color w:val="000000"/>
                <w:sz w:val="20"/>
                <w:szCs w:val="20"/>
              </w:rPr>
              <w:t>☒</w:t>
            </w:r>
            <w:r w:rsidR="00B74FF4" w:rsidRPr="00E65BBE">
              <w:rPr>
                <w:rFonts w:cstheme="minorHAnsi"/>
                <w:color w:val="000000"/>
                <w:sz w:val="20"/>
                <w:szCs w:val="20"/>
              </w:rPr>
              <w:t xml:space="preserve"> </w:t>
            </w:r>
            <w:r w:rsidR="00B74FF4">
              <w:rPr>
                <w:rFonts w:cstheme="minorHAnsi"/>
                <w:color w:val="000000"/>
                <w:sz w:val="20"/>
                <w:szCs w:val="20"/>
              </w:rPr>
              <w:t>Delivery Partner</w:t>
            </w:r>
          </w:p>
        </w:tc>
      </w:tr>
      <w:tr w:rsidR="00556639" w:rsidRPr="00E65BBE" w14:paraId="7C9FD614" w14:textId="77777777" w:rsidTr="00AF2C60">
        <w:trPr>
          <w:gridAfter w:val="1"/>
          <w:wAfter w:w="15" w:type="dxa"/>
          <w:trHeight w:val="160"/>
        </w:trPr>
        <w:tc>
          <w:tcPr>
            <w:tcW w:w="2556" w:type="dxa"/>
            <w:vMerge/>
            <w:noWrap/>
          </w:tcPr>
          <w:p w14:paraId="21123718"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2D85C79" w14:textId="77777777" w:rsidR="00556639" w:rsidRPr="00E65BBE" w:rsidRDefault="00556639" w:rsidP="00556639">
            <w:pPr>
              <w:spacing w:before="120" w:after="120" w:line="240" w:lineRule="auto"/>
              <w:rPr>
                <w:rFonts w:cstheme="minorHAnsi"/>
                <w:sz w:val="20"/>
                <w:szCs w:val="20"/>
              </w:rPr>
            </w:pPr>
            <w:r w:rsidRPr="00E65BBE">
              <w:rPr>
                <w:rFonts w:cstheme="minorHAnsi"/>
                <w:sz w:val="20"/>
                <w:szCs w:val="20"/>
              </w:rPr>
              <w:t>Name of institution:</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9452C19" w14:textId="77777777" w:rsidR="00771EDB" w:rsidRDefault="00771EDB" w:rsidP="00771EDB">
            <w:pPr>
              <w:spacing w:before="120" w:after="120" w:line="240" w:lineRule="auto"/>
              <w:rPr>
                <w:rFonts w:cstheme="minorHAnsi"/>
                <w:color w:val="808080" w:themeColor="background1" w:themeShade="80"/>
                <w:sz w:val="20"/>
                <w:szCs w:val="20"/>
              </w:rPr>
            </w:pPr>
          </w:p>
          <w:p w14:paraId="316C30D1" w14:textId="2A0DD18F" w:rsidR="0012708A" w:rsidRDefault="00771EDB" w:rsidP="00771EDB">
            <w:pPr>
              <w:spacing w:before="120" w:after="120" w:line="240" w:lineRule="auto"/>
              <w:rPr>
                <w:rStyle w:val="DefaultText"/>
              </w:rPr>
            </w:pPr>
            <w:r w:rsidRPr="00662332">
              <w:rPr>
                <w:rFonts w:cstheme="minorHAnsi"/>
                <w:sz w:val="20"/>
                <w:szCs w:val="20"/>
              </w:rPr>
              <w:t>United Nations Development Programme (UNDP)</w:t>
            </w:r>
          </w:p>
        </w:tc>
      </w:tr>
      <w:tr w:rsidR="00556639" w:rsidRPr="00E65BBE" w14:paraId="5CC9C7FE" w14:textId="77777777" w:rsidTr="00AF2C60">
        <w:trPr>
          <w:gridAfter w:val="1"/>
          <w:wAfter w:w="15" w:type="dxa"/>
          <w:trHeight w:val="160"/>
        </w:trPr>
        <w:tc>
          <w:tcPr>
            <w:tcW w:w="2556" w:type="dxa"/>
            <w:vMerge/>
            <w:noWrap/>
          </w:tcPr>
          <w:p w14:paraId="1AE4A92A"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13A7950" w14:textId="77777777" w:rsidR="00556639" w:rsidRPr="00E65BBE" w:rsidRDefault="00556639" w:rsidP="00556639">
            <w:pPr>
              <w:spacing w:before="120" w:after="120" w:line="240" w:lineRule="auto"/>
              <w:rPr>
                <w:rFonts w:cstheme="minorHAnsi"/>
                <w:sz w:val="20"/>
                <w:szCs w:val="20"/>
              </w:rPr>
            </w:pPr>
            <w:r w:rsidRPr="00E65BBE">
              <w:rPr>
                <w:rFonts w:cstheme="minorHAnsi"/>
                <w:sz w:val="20"/>
                <w:szCs w:val="20"/>
              </w:rPr>
              <w:t>Name of official:</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242D462" w14:textId="647C0A8C" w:rsidR="0012708A" w:rsidRDefault="00771EDB" w:rsidP="00771EDB">
            <w:pPr>
              <w:spacing w:before="120" w:after="120" w:line="240" w:lineRule="auto"/>
              <w:rPr>
                <w:rStyle w:val="DefaultText"/>
              </w:rPr>
            </w:pPr>
            <w:r w:rsidRPr="00662332">
              <w:rPr>
                <w:rStyle w:val="DefaultText"/>
                <w:color w:val="auto"/>
              </w:rPr>
              <w:t xml:space="preserve">Nancy Bennet </w:t>
            </w:r>
          </w:p>
        </w:tc>
      </w:tr>
      <w:tr w:rsidR="00556639" w:rsidRPr="00E65BBE" w14:paraId="2393B217" w14:textId="77777777" w:rsidTr="00AF2C60">
        <w:trPr>
          <w:gridAfter w:val="1"/>
          <w:wAfter w:w="15" w:type="dxa"/>
          <w:trHeight w:val="160"/>
        </w:trPr>
        <w:tc>
          <w:tcPr>
            <w:tcW w:w="2556" w:type="dxa"/>
            <w:vMerge/>
            <w:noWrap/>
          </w:tcPr>
          <w:p w14:paraId="440A48AB"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992A974" w14:textId="77777777" w:rsidR="00556639" w:rsidRPr="00E65BBE" w:rsidRDefault="00556639" w:rsidP="00556639">
            <w:pPr>
              <w:spacing w:before="120" w:after="120" w:line="240" w:lineRule="auto"/>
              <w:rPr>
                <w:rFonts w:cstheme="minorHAnsi"/>
                <w:sz w:val="20"/>
                <w:szCs w:val="20"/>
              </w:rPr>
            </w:pPr>
            <w:r w:rsidRPr="00E65BBE">
              <w:rPr>
                <w:rFonts w:cstheme="minorHAnsi"/>
                <w:sz w:val="20"/>
                <w:szCs w:val="20"/>
              </w:rPr>
              <w:t>Position:</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E395897" w14:textId="70023DF4" w:rsidR="00771EDB" w:rsidRPr="00662332" w:rsidRDefault="00771EDB" w:rsidP="00771EDB">
            <w:pPr>
              <w:spacing w:before="120" w:after="120" w:line="240" w:lineRule="auto"/>
              <w:rPr>
                <w:rStyle w:val="DefaultText"/>
                <w:color w:val="auto"/>
              </w:rPr>
            </w:pPr>
            <w:r w:rsidRPr="00662332">
              <w:rPr>
                <w:rStyle w:val="DefaultText"/>
                <w:color w:val="auto"/>
              </w:rPr>
              <w:t xml:space="preserve">Executive Coordinator, </w:t>
            </w:r>
            <w:proofErr w:type="spellStart"/>
            <w:r w:rsidRPr="00662332">
              <w:rPr>
                <w:rStyle w:val="DefaultText"/>
                <w:color w:val="auto"/>
              </w:rPr>
              <w:t>a.i</w:t>
            </w:r>
            <w:r w:rsidR="001D2BA5" w:rsidRPr="00662332">
              <w:rPr>
                <w:rStyle w:val="DefaultText"/>
                <w:color w:val="auto"/>
              </w:rPr>
              <w:t>.</w:t>
            </w:r>
            <w:proofErr w:type="spellEnd"/>
          </w:p>
          <w:p w14:paraId="49085D57" w14:textId="77777777" w:rsidR="00771EDB" w:rsidRPr="00662332" w:rsidRDefault="00771EDB" w:rsidP="00771EDB">
            <w:pPr>
              <w:spacing w:before="120" w:after="120" w:line="240" w:lineRule="auto"/>
              <w:rPr>
                <w:rStyle w:val="DefaultText"/>
                <w:color w:val="auto"/>
              </w:rPr>
            </w:pPr>
            <w:r w:rsidRPr="00662332">
              <w:rPr>
                <w:rStyle w:val="DefaultText"/>
                <w:color w:val="auto"/>
              </w:rPr>
              <w:t>Vertical Funds Programming Support, Oversight &amp; Compliance Hub</w:t>
            </w:r>
          </w:p>
          <w:p w14:paraId="60F1AD31" w14:textId="77777777" w:rsidR="00771EDB" w:rsidRPr="00662332" w:rsidRDefault="00771EDB" w:rsidP="00771EDB">
            <w:pPr>
              <w:spacing w:before="120" w:after="120" w:line="240" w:lineRule="auto"/>
              <w:rPr>
                <w:rStyle w:val="DefaultText"/>
                <w:color w:val="auto"/>
              </w:rPr>
            </w:pPr>
            <w:r w:rsidRPr="00662332">
              <w:rPr>
                <w:rStyle w:val="DefaultText"/>
                <w:color w:val="auto"/>
              </w:rPr>
              <w:t>Bureau for Policy and Programme Support</w:t>
            </w:r>
          </w:p>
          <w:p w14:paraId="62CF00F8" w14:textId="1F5FB745" w:rsidR="0012708A" w:rsidRPr="00662332" w:rsidRDefault="00771EDB" w:rsidP="00771EDB">
            <w:pPr>
              <w:spacing w:before="120" w:after="120" w:line="240" w:lineRule="auto"/>
              <w:rPr>
                <w:rStyle w:val="DefaultText"/>
                <w:color w:val="auto"/>
              </w:rPr>
            </w:pPr>
            <w:r w:rsidRPr="00662332">
              <w:rPr>
                <w:rStyle w:val="DefaultText"/>
                <w:color w:val="auto"/>
              </w:rPr>
              <w:t>(BPPS)</w:t>
            </w:r>
          </w:p>
        </w:tc>
      </w:tr>
      <w:tr w:rsidR="00556639" w:rsidRPr="00E65BBE" w14:paraId="4FA8A896" w14:textId="77777777" w:rsidTr="00AF2C60">
        <w:trPr>
          <w:gridAfter w:val="1"/>
          <w:wAfter w:w="15" w:type="dxa"/>
          <w:trHeight w:val="160"/>
        </w:trPr>
        <w:tc>
          <w:tcPr>
            <w:tcW w:w="2556" w:type="dxa"/>
            <w:vMerge/>
            <w:noWrap/>
          </w:tcPr>
          <w:p w14:paraId="7423E9AE"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0C8A370" w14:textId="77777777" w:rsidR="00556639" w:rsidRPr="00E65BBE" w:rsidRDefault="00556639" w:rsidP="00556639">
            <w:pPr>
              <w:spacing w:before="120" w:after="120" w:line="240" w:lineRule="auto"/>
              <w:rPr>
                <w:rFonts w:cstheme="minorHAnsi"/>
                <w:sz w:val="20"/>
                <w:szCs w:val="20"/>
              </w:rPr>
            </w:pPr>
            <w:r w:rsidRPr="00E65BBE">
              <w:rPr>
                <w:rFonts w:cstheme="minorHAnsi"/>
                <w:sz w:val="20"/>
                <w:szCs w:val="20"/>
              </w:rPr>
              <w:t>Telephone number:</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43486D85" w14:textId="77777777" w:rsidR="0012708A" w:rsidRDefault="00771EDB" w:rsidP="00771EDB">
            <w:pPr>
              <w:spacing w:before="120" w:after="120" w:line="240" w:lineRule="auto"/>
              <w:rPr>
                <w:rStyle w:val="DefaultText"/>
              </w:rPr>
            </w:pPr>
            <w:r w:rsidRPr="00662332">
              <w:rPr>
                <w:rStyle w:val="DefaultText"/>
                <w:color w:val="auto"/>
              </w:rPr>
              <w:t>+1 917-498-7221</w:t>
            </w:r>
          </w:p>
        </w:tc>
      </w:tr>
      <w:tr w:rsidR="00556639" w:rsidRPr="00E65BBE" w14:paraId="66094241" w14:textId="77777777" w:rsidTr="00AF2C60">
        <w:trPr>
          <w:gridAfter w:val="1"/>
          <w:wAfter w:w="15" w:type="dxa"/>
          <w:trHeight w:val="160"/>
        </w:trPr>
        <w:tc>
          <w:tcPr>
            <w:tcW w:w="2556" w:type="dxa"/>
            <w:vMerge/>
            <w:noWrap/>
          </w:tcPr>
          <w:p w14:paraId="145856CA"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1C064420" w14:textId="4A79E7D4" w:rsidR="00556639" w:rsidRPr="00E65BBE" w:rsidRDefault="00556639" w:rsidP="00556639">
            <w:pPr>
              <w:spacing w:before="120" w:after="120" w:line="240" w:lineRule="auto"/>
              <w:rPr>
                <w:rFonts w:cstheme="minorHAnsi"/>
                <w:sz w:val="20"/>
                <w:szCs w:val="20"/>
              </w:rPr>
            </w:pPr>
            <w:r w:rsidRPr="00E65BBE">
              <w:rPr>
                <w:rFonts w:cstheme="minorHAnsi"/>
                <w:sz w:val="20"/>
                <w:szCs w:val="20"/>
              </w:rPr>
              <w:t>Email:</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835F8BE" w14:textId="5D84CB58" w:rsidR="0012708A" w:rsidRDefault="00771EDB" w:rsidP="00771EDB">
            <w:pPr>
              <w:spacing w:before="120" w:after="120" w:line="240" w:lineRule="auto"/>
              <w:rPr>
                <w:rStyle w:val="DefaultText"/>
              </w:rPr>
            </w:pPr>
            <w:r w:rsidRPr="00662332">
              <w:rPr>
                <w:rStyle w:val="DefaultText"/>
                <w:color w:val="auto"/>
              </w:rPr>
              <w:t>nancy.bennet@undp.org</w:t>
            </w:r>
          </w:p>
        </w:tc>
      </w:tr>
      <w:tr w:rsidR="00556639" w:rsidRPr="00E65BBE" w14:paraId="5EA5FF12" w14:textId="77777777" w:rsidTr="00AF2C60">
        <w:trPr>
          <w:gridAfter w:val="1"/>
          <w:wAfter w:w="15" w:type="dxa"/>
          <w:trHeight w:val="160"/>
        </w:trPr>
        <w:tc>
          <w:tcPr>
            <w:tcW w:w="2556" w:type="dxa"/>
            <w:vMerge/>
            <w:noWrap/>
          </w:tcPr>
          <w:p w14:paraId="0C3FA1CA"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002E84A0" w14:textId="77777777" w:rsidR="00556639" w:rsidRPr="00E65BBE" w:rsidRDefault="00556639" w:rsidP="00556639">
            <w:pPr>
              <w:spacing w:before="120" w:after="120" w:line="240" w:lineRule="auto"/>
              <w:rPr>
                <w:rFonts w:cstheme="minorHAnsi"/>
                <w:sz w:val="20"/>
                <w:szCs w:val="20"/>
              </w:rPr>
            </w:pPr>
            <w:r w:rsidRPr="00E65BBE">
              <w:rPr>
                <w:rFonts w:cstheme="minorHAnsi"/>
                <w:sz w:val="20"/>
                <w:szCs w:val="20"/>
              </w:rPr>
              <w:t>Full office address:</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2133B464" w14:textId="77777777" w:rsidR="00771EDB" w:rsidRDefault="00771EDB" w:rsidP="00771EDB">
            <w:pPr>
              <w:spacing w:before="120" w:after="120" w:line="240" w:lineRule="auto"/>
              <w:rPr>
                <w:rStyle w:val="DefaultText"/>
              </w:rPr>
            </w:pPr>
            <w:r w:rsidRPr="00662332">
              <w:rPr>
                <w:rFonts w:cstheme="minorHAnsi"/>
                <w:sz w:val="20"/>
                <w:szCs w:val="20"/>
              </w:rPr>
              <w:t>UNDP, 918, FF-Building, 304 E45th Street, NY 10017, USA</w:t>
            </w:r>
          </w:p>
        </w:tc>
      </w:tr>
      <w:tr w:rsidR="00556639" w:rsidRPr="00E65BBE" w14:paraId="265DD683" w14:textId="77777777" w:rsidTr="00AF2C60">
        <w:trPr>
          <w:gridAfter w:val="1"/>
          <w:wAfter w:w="15" w:type="dxa"/>
          <w:trHeight w:val="659"/>
        </w:trPr>
        <w:tc>
          <w:tcPr>
            <w:tcW w:w="2556" w:type="dxa"/>
            <w:vMerge/>
            <w:noWrap/>
          </w:tcPr>
          <w:p w14:paraId="21372F36" w14:textId="77777777" w:rsidR="00556639" w:rsidRPr="00E65BBE" w:rsidRDefault="00556639" w:rsidP="00556639">
            <w:pPr>
              <w:spacing w:before="120" w:after="60" w:line="240" w:lineRule="auto"/>
              <w:rPr>
                <w:rFonts w:eastAsia="Times New Roman" w:cstheme="minorHAnsi"/>
                <w:b/>
                <w:color w:val="24634F"/>
                <w:sz w:val="20"/>
                <w:szCs w:val="20"/>
                <w:lang w:eastAsia="ja-JP"/>
              </w:rPr>
            </w:pPr>
          </w:p>
        </w:tc>
        <w:tc>
          <w:tcPr>
            <w:tcW w:w="266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5D1AF638" w14:textId="77777777" w:rsidR="00556639" w:rsidRPr="00E65BBE" w:rsidRDefault="00556639" w:rsidP="00556639">
            <w:pPr>
              <w:spacing w:before="120" w:after="120" w:line="240" w:lineRule="auto"/>
              <w:rPr>
                <w:rFonts w:cstheme="minorHAnsi"/>
                <w:sz w:val="20"/>
                <w:szCs w:val="20"/>
              </w:rPr>
            </w:pPr>
            <w:r w:rsidRPr="00E65BBE">
              <w:rPr>
                <w:rFonts w:cstheme="minorHAnsi"/>
                <w:sz w:val="20"/>
                <w:szCs w:val="20"/>
              </w:rPr>
              <w:t>Additional email addresses that need to be copied on correspondences:</w:t>
            </w:r>
          </w:p>
        </w:tc>
        <w:tc>
          <w:tcPr>
            <w:tcW w:w="4273"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auto"/>
            <w:vAlign w:val="center"/>
          </w:tcPr>
          <w:p w14:paraId="686BD4F9" w14:textId="00798F73" w:rsidR="00AB0005" w:rsidRPr="003658AF" w:rsidRDefault="00AB0005" w:rsidP="00AB0005">
            <w:pPr>
              <w:pStyle w:val="Heading2"/>
              <w:spacing w:before="0" w:line="240" w:lineRule="auto"/>
              <w:rPr>
                <w:rStyle w:val="DefaultText"/>
                <w:color w:val="auto"/>
              </w:rPr>
            </w:pPr>
            <w:hyperlink r:id="rId17" w:history="1">
              <w:r w:rsidRPr="003658AF">
                <w:rPr>
                  <w:rStyle w:val="Hyperlink"/>
                  <w:rFonts w:cstheme="minorHAnsi"/>
                  <w:sz w:val="20"/>
                  <w:szCs w:val="20"/>
                </w:rPr>
                <w:t>nancy.bennet@undp.org</w:t>
              </w:r>
            </w:hyperlink>
          </w:p>
          <w:p w14:paraId="492E9348" w14:textId="11FCE1E9" w:rsidR="0012708A" w:rsidRDefault="00580785" w:rsidP="00580785">
            <w:pPr>
              <w:rPr>
                <w:rStyle w:val="Hyperlink"/>
                <w:rFonts w:cstheme="minorHAnsi"/>
                <w:sz w:val="20"/>
                <w:szCs w:val="20"/>
              </w:rPr>
            </w:pPr>
            <w:hyperlink r:id="rId18" w:history="1">
              <w:r w:rsidRPr="003658AF">
                <w:rPr>
                  <w:rStyle w:val="Hyperlink"/>
                  <w:sz w:val="20"/>
                  <w:szCs w:val="20"/>
                </w:rPr>
                <w:t>robin.merlier@undp.org</w:t>
              </w:r>
            </w:hyperlink>
            <w:r w:rsidRPr="003658AF">
              <w:rPr>
                <w:sz w:val="20"/>
                <w:szCs w:val="20"/>
              </w:rPr>
              <w:t xml:space="preserve"> </w:t>
            </w:r>
            <w:hyperlink r:id="rId19" w:history="1">
              <w:r w:rsidR="00AB0005" w:rsidRPr="003658AF">
                <w:rPr>
                  <w:rStyle w:val="Hyperlink"/>
                  <w:rFonts w:cstheme="minorHAnsi"/>
                  <w:sz w:val="20"/>
                  <w:szCs w:val="20"/>
                </w:rPr>
                <w:t>patricia.velasco@undp.org</w:t>
              </w:r>
            </w:hyperlink>
            <w:r w:rsidRPr="003658AF">
              <w:rPr>
                <w:rFonts w:cstheme="minorHAnsi"/>
                <w:sz w:val="20"/>
                <w:szCs w:val="20"/>
              </w:rPr>
              <w:t xml:space="preserve"> </w:t>
            </w:r>
            <w:hyperlink r:id="rId20" w:history="1">
              <w:r w:rsidR="00771EDB" w:rsidRPr="003658AF">
                <w:rPr>
                  <w:rStyle w:val="Hyperlink"/>
                  <w:rFonts w:asciiTheme="majorHAnsi" w:eastAsiaTheme="majorEastAsia" w:hAnsiTheme="majorHAnsi" w:cstheme="minorHAnsi"/>
                  <w:sz w:val="20"/>
                  <w:szCs w:val="20"/>
                </w:rPr>
                <w:t>claudia.ortiz@undp.org</w:t>
              </w:r>
            </w:hyperlink>
            <w:r w:rsidRPr="003658AF">
              <w:rPr>
                <w:rStyle w:val="Hyperlink"/>
                <w:rFonts w:asciiTheme="majorHAnsi" w:eastAsiaTheme="majorEastAsia" w:hAnsiTheme="majorHAnsi" w:cstheme="minorHAnsi"/>
                <w:sz w:val="20"/>
                <w:szCs w:val="20"/>
              </w:rPr>
              <w:t xml:space="preserve"> </w:t>
            </w:r>
            <w:hyperlink r:id="rId21" w:history="1">
              <w:r w:rsidRPr="003658AF">
                <w:rPr>
                  <w:rStyle w:val="Hyperlink"/>
                  <w:rFonts w:asciiTheme="majorHAnsi" w:eastAsiaTheme="majorEastAsia" w:hAnsiTheme="majorHAnsi" w:cstheme="minorHAnsi"/>
                  <w:sz w:val="20"/>
                  <w:szCs w:val="20"/>
                </w:rPr>
                <w:t>nathaniel.pappoe@undp.org</w:t>
              </w:r>
            </w:hyperlink>
            <w:r w:rsidRPr="003658AF">
              <w:rPr>
                <w:rStyle w:val="Hyperlink"/>
                <w:rFonts w:asciiTheme="majorHAnsi" w:eastAsiaTheme="majorEastAsia" w:hAnsiTheme="majorHAnsi" w:cstheme="minorHAnsi"/>
                <w:sz w:val="20"/>
                <w:szCs w:val="20"/>
              </w:rPr>
              <w:t xml:space="preserve"> </w:t>
            </w:r>
            <w:hyperlink r:id="rId22" w:history="1">
              <w:r w:rsidR="00C71E1A" w:rsidRPr="003658AF">
                <w:rPr>
                  <w:rStyle w:val="Hyperlink"/>
                  <w:rFonts w:cstheme="minorHAnsi"/>
                  <w:sz w:val="20"/>
                  <w:szCs w:val="20"/>
                </w:rPr>
                <w:t>monica.rijal@undp.org</w:t>
              </w:r>
            </w:hyperlink>
            <w:r w:rsidR="00C71E1A" w:rsidRPr="003658AF">
              <w:rPr>
                <w:rStyle w:val="Hyperlink"/>
                <w:rFonts w:cstheme="minorHAnsi"/>
                <w:sz w:val="20"/>
                <w:szCs w:val="20"/>
              </w:rPr>
              <w:t xml:space="preserve"> </w:t>
            </w:r>
            <w:hyperlink r:id="rId23" w:history="1">
              <w:r w:rsidR="00C71E1A" w:rsidRPr="003658AF">
                <w:rPr>
                  <w:rStyle w:val="Hyperlink"/>
                  <w:rFonts w:cstheme="minorHAnsi"/>
                  <w:sz w:val="20"/>
                  <w:szCs w:val="20"/>
                </w:rPr>
                <w:t>azamat.usubaliev@undp.org</w:t>
              </w:r>
            </w:hyperlink>
            <w:r w:rsidR="00C71E1A" w:rsidRPr="006E1FB7">
              <w:rPr>
                <w:rStyle w:val="Hyperlink"/>
                <w:rFonts w:cstheme="minorHAnsi"/>
                <w:sz w:val="20"/>
                <w:szCs w:val="20"/>
              </w:rPr>
              <w:t xml:space="preserve"> </w:t>
            </w:r>
          </w:p>
          <w:p w14:paraId="600DE49E" w14:textId="76092370" w:rsidR="00AB0005" w:rsidRPr="00AB0005" w:rsidRDefault="00AB0005" w:rsidP="00AB0005"/>
        </w:tc>
      </w:tr>
      <w:tr w:rsidR="00556639" w:rsidRPr="00E65BBE" w14:paraId="558BC323" w14:textId="77777777" w:rsidTr="009E664F">
        <w:trPr>
          <w:gridAfter w:val="1"/>
          <w:wAfter w:w="15" w:type="dxa"/>
          <w:trHeight w:val="840"/>
        </w:trPr>
        <w:tc>
          <w:tcPr>
            <w:tcW w:w="2556" w:type="dxa"/>
            <w:shd w:val="clear" w:color="auto" w:fill="D9D9D9" w:themeFill="background1" w:themeFillShade="D9"/>
            <w:noWrap/>
          </w:tcPr>
          <w:p w14:paraId="78FB336E" w14:textId="4CBDC028" w:rsidR="00556639" w:rsidRPr="00E04AEC" w:rsidRDefault="00556639" w:rsidP="00163FD5">
            <w:pPr>
              <w:pStyle w:val="ListParagraph"/>
              <w:numPr>
                <w:ilvl w:val="1"/>
                <w:numId w:val="2"/>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Title of the Readiness support proposal</w:t>
            </w:r>
          </w:p>
        </w:tc>
        <w:tc>
          <w:tcPr>
            <w:tcW w:w="6937" w:type="dxa"/>
            <w:gridSpan w:val="3"/>
            <w:shd w:val="clear" w:color="auto" w:fill="auto"/>
            <w:vAlign w:val="center"/>
          </w:tcPr>
          <w:p w14:paraId="57F10CFA" w14:textId="32F3EA6D" w:rsidR="00556639" w:rsidRPr="00E65BBE" w:rsidRDefault="006901ED" w:rsidP="00563C88">
            <w:pPr>
              <w:spacing w:before="120" w:after="120" w:line="240" w:lineRule="auto"/>
              <w:ind w:left="36" w:right="-29"/>
              <w:jc w:val="both"/>
              <w:rPr>
                <w:rFonts w:cstheme="minorHAnsi"/>
                <w:sz w:val="20"/>
                <w:szCs w:val="20"/>
              </w:rPr>
            </w:pPr>
            <w:r w:rsidRPr="007F5420">
              <w:rPr>
                <w:rFonts w:cstheme="minorHAnsi"/>
                <w:sz w:val="20"/>
                <w:szCs w:val="20"/>
              </w:rPr>
              <w:t>Capacity Building of National Financial Institutions to Access and Utilize Green and Climate Finance</w:t>
            </w:r>
          </w:p>
        </w:tc>
      </w:tr>
      <w:tr w:rsidR="00556639" w:rsidRPr="00E65BBE" w14:paraId="5E794AC5" w14:textId="77777777" w:rsidTr="009E664F">
        <w:trPr>
          <w:gridAfter w:val="1"/>
          <w:wAfter w:w="15" w:type="dxa"/>
          <w:trHeight w:val="659"/>
        </w:trPr>
        <w:tc>
          <w:tcPr>
            <w:tcW w:w="2556" w:type="dxa"/>
            <w:shd w:val="clear" w:color="auto" w:fill="D9D9D9" w:themeFill="background1" w:themeFillShade="D9"/>
            <w:noWrap/>
          </w:tcPr>
          <w:p w14:paraId="6DC9FA44" w14:textId="69D6CC68" w:rsidR="00556639" w:rsidRPr="00E04AEC" w:rsidRDefault="00556639" w:rsidP="00163FD5">
            <w:pPr>
              <w:pStyle w:val="ListParagraph"/>
              <w:numPr>
                <w:ilvl w:val="1"/>
                <w:numId w:val="2"/>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Readiness objectives of the proposal</w:t>
            </w:r>
          </w:p>
        </w:tc>
        <w:tc>
          <w:tcPr>
            <w:tcW w:w="6937" w:type="dxa"/>
            <w:gridSpan w:val="3"/>
            <w:shd w:val="clear" w:color="auto" w:fill="auto"/>
            <w:vAlign w:val="center"/>
          </w:tcPr>
          <w:p w14:paraId="6D27D004" w14:textId="13EA2802" w:rsidR="00556639" w:rsidRPr="00E65BBE" w:rsidRDefault="00137352" w:rsidP="00556639">
            <w:pPr>
              <w:tabs>
                <w:tab w:val="left" w:pos="720"/>
                <w:tab w:val="left" w:pos="7200"/>
              </w:tabs>
              <w:spacing w:before="120" w:after="120" w:line="240" w:lineRule="auto"/>
              <w:rPr>
                <w:rFonts w:cstheme="minorHAnsi"/>
                <w:sz w:val="20"/>
                <w:szCs w:val="20"/>
              </w:rPr>
            </w:pPr>
            <w:r>
              <w:rPr>
                <w:rFonts w:ascii="Segoe UI Symbol" w:eastAsia="MS Gothic" w:hAnsi="Segoe UI Symbol" w:cs="Segoe UI Symbol"/>
                <w:sz w:val="20"/>
                <w:szCs w:val="20"/>
              </w:rPr>
              <w:t xml:space="preserve">⊠ </w:t>
            </w:r>
            <w:r w:rsidR="00556639" w:rsidRPr="00E65BBE">
              <w:rPr>
                <w:rFonts w:cstheme="minorHAnsi"/>
                <w:sz w:val="20"/>
                <w:szCs w:val="20"/>
              </w:rPr>
              <w:t>Objective 1. Capacity Building</w:t>
            </w:r>
          </w:p>
          <w:p w14:paraId="2B6416ED" w14:textId="255E6F9E" w:rsidR="00556639" w:rsidRPr="00E65BBE" w:rsidRDefault="00137352" w:rsidP="00556639">
            <w:pPr>
              <w:tabs>
                <w:tab w:val="left" w:pos="720"/>
                <w:tab w:val="left" w:pos="7200"/>
              </w:tabs>
              <w:spacing w:before="120" w:after="120" w:line="240" w:lineRule="auto"/>
              <w:rPr>
                <w:rFonts w:cstheme="minorHAnsi"/>
                <w:sz w:val="20"/>
                <w:szCs w:val="20"/>
              </w:rPr>
            </w:pPr>
            <w:r>
              <w:rPr>
                <w:rFonts w:ascii="Segoe UI Symbol" w:eastAsia="MS Gothic" w:hAnsi="Segoe UI Symbol" w:cs="Segoe UI Symbol"/>
                <w:sz w:val="20"/>
                <w:szCs w:val="20"/>
              </w:rPr>
              <w:t xml:space="preserve">⊠ </w:t>
            </w:r>
            <w:r w:rsidR="00556639" w:rsidRPr="00E65BBE">
              <w:rPr>
                <w:rFonts w:cstheme="minorHAnsi"/>
                <w:sz w:val="20"/>
                <w:szCs w:val="20"/>
              </w:rPr>
              <w:t>Objective 2. Strategic frameworks</w:t>
            </w:r>
          </w:p>
          <w:p w14:paraId="39D0441C" w14:textId="1E354454" w:rsidR="00556639" w:rsidRPr="00E65BBE" w:rsidRDefault="00556639" w:rsidP="00556639">
            <w:pPr>
              <w:tabs>
                <w:tab w:val="left" w:pos="720"/>
                <w:tab w:val="left" w:pos="7200"/>
              </w:tabs>
              <w:spacing w:before="120" w:after="120" w:line="240" w:lineRule="auto"/>
              <w:rPr>
                <w:rFonts w:cstheme="minorHAnsi"/>
                <w:sz w:val="20"/>
                <w:szCs w:val="20"/>
                <w:lang w:val="en-GB"/>
              </w:rPr>
            </w:pPr>
            <w:r w:rsidRPr="00E65BBE">
              <w:rPr>
                <w:rFonts w:ascii="Segoe UI Symbol" w:eastAsia="MS Gothic" w:hAnsi="Segoe UI Symbol" w:cs="Segoe UI Symbol"/>
                <w:sz w:val="20"/>
                <w:szCs w:val="20"/>
              </w:rPr>
              <w:t>☐</w:t>
            </w:r>
            <w:r w:rsidRPr="00E65BBE">
              <w:rPr>
                <w:rFonts w:cstheme="minorHAnsi"/>
                <w:sz w:val="20"/>
                <w:szCs w:val="20"/>
              </w:rPr>
              <w:t xml:space="preserve"> Objective 3. Adaptation planning</w:t>
            </w:r>
            <w:r w:rsidRPr="00E65BBE">
              <w:rPr>
                <w:rStyle w:val="FootnoteReference"/>
                <w:rFonts w:cstheme="minorHAnsi"/>
                <w:sz w:val="20"/>
                <w:szCs w:val="20"/>
              </w:rPr>
              <w:footnoteReference w:id="2"/>
            </w:r>
          </w:p>
          <w:p w14:paraId="05D1C0FD" w14:textId="720B791D" w:rsidR="00556639" w:rsidRPr="00E65BBE" w:rsidRDefault="0020665D" w:rsidP="00556639">
            <w:pPr>
              <w:tabs>
                <w:tab w:val="left" w:pos="720"/>
                <w:tab w:val="left" w:pos="7200"/>
              </w:tabs>
              <w:spacing w:before="120" w:after="120" w:line="240" w:lineRule="auto"/>
              <w:rPr>
                <w:rFonts w:cstheme="minorHAnsi"/>
                <w:sz w:val="20"/>
                <w:szCs w:val="20"/>
              </w:rPr>
            </w:pPr>
            <w:r>
              <w:rPr>
                <w:rFonts w:ascii="Segoe UI Symbol" w:eastAsia="MS Gothic" w:hAnsi="Segoe UI Symbol" w:cs="Segoe UI Symbol"/>
                <w:sz w:val="20"/>
                <w:szCs w:val="20"/>
              </w:rPr>
              <w:t>⊠</w:t>
            </w:r>
            <w:r w:rsidR="00556639" w:rsidRPr="00E65BBE">
              <w:rPr>
                <w:rFonts w:cstheme="minorHAnsi"/>
                <w:sz w:val="20"/>
                <w:szCs w:val="20"/>
              </w:rPr>
              <w:t xml:space="preserve"> Objective 4. Pipeline development</w:t>
            </w:r>
          </w:p>
          <w:p w14:paraId="10711D2F" w14:textId="4B7BB8D3" w:rsidR="00556639" w:rsidRPr="00E65BBE" w:rsidRDefault="0020665D" w:rsidP="00556639">
            <w:pPr>
              <w:tabs>
                <w:tab w:val="left" w:pos="720"/>
                <w:tab w:val="left" w:pos="7200"/>
              </w:tabs>
              <w:spacing w:before="120" w:after="120" w:line="240" w:lineRule="auto"/>
              <w:rPr>
                <w:rFonts w:cstheme="minorHAnsi"/>
                <w:sz w:val="20"/>
                <w:szCs w:val="20"/>
              </w:rPr>
            </w:pPr>
            <w:r>
              <w:rPr>
                <w:rFonts w:ascii="Segoe UI Symbol" w:eastAsia="MS Gothic" w:hAnsi="Segoe UI Symbol" w:cs="Segoe UI Symbol"/>
                <w:sz w:val="20"/>
                <w:szCs w:val="20"/>
              </w:rPr>
              <w:t>⊠</w:t>
            </w:r>
            <w:r w:rsidR="00556639" w:rsidRPr="00E65BBE">
              <w:rPr>
                <w:rFonts w:cstheme="minorHAnsi"/>
                <w:sz w:val="20"/>
                <w:szCs w:val="20"/>
              </w:rPr>
              <w:t xml:space="preserve"> Objective 5. Knowledge sharing and learnin</w:t>
            </w:r>
            <w:r w:rsidR="00556639">
              <w:rPr>
                <w:rFonts w:cstheme="minorHAnsi"/>
                <w:sz w:val="20"/>
                <w:szCs w:val="20"/>
              </w:rPr>
              <w:t>g</w:t>
            </w:r>
          </w:p>
        </w:tc>
      </w:tr>
      <w:tr w:rsidR="00556639" w:rsidRPr="00E65BBE" w14:paraId="374F5568" w14:textId="77777777" w:rsidTr="009E664F">
        <w:trPr>
          <w:gridAfter w:val="1"/>
          <w:wAfter w:w="15" w:type="dxa"/>
          <w:trHeight w:val="659"/>
        </w:trPr>
        <w:tc>
          <w:tcPr>
            <w:tcW w:w="2556" w:type="dxa"/>
            <w:shd w:val="clear" w:color="auto" w:fill="D9D9D9" w:themeFill="background1" w:themeFillShade="D9"/>
            <w:noWrap/>
            <w:vAlign w:val="center"/>
          </w:tcPr>
          <w:p w14:paraId="1A45A0AE" w14:textId="3D5C9DF1" w:rsidR="00556639" w:rsidRPr="00E04AEC" w:rsidRDefault="00556639" w:rsidP="00163FD5">
            <w:pPr>
              <w:pStyle w:val="ListParagraph"/>
              <w:numPr>
                <w:ilvl w:val="1"/>
                <w:numId w:val="2"/>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Total requested amount and currency</w:t>
            </w:r>
          </w:p>
        </w:tc>
        <w:tc>
          <w:tcPr>
            <w:tcW w:w="6937" w:type="dxa"/>
            <w:gridSpan w:val="3"/>
            <w:shd w:val="clear" w:color="auto" w:fill="auto"/>
            <w:vAlign w:val="center"/>
          </w:tcPr>
          <w:p w14:paraId="0B2A1BE8" w14:textId="568E221E" w:rsidR="00556639" w:rsidRPr="0016058E" w:rsidRDefault="007C6708" w:rsidP="00653A4E">
            <w:pPr>
              <w:spacing w:before="120" w:after="120" w:line="240" w:lineRule="auto"/>
              <w:jc w:val="both"/>
              <w:rPr>
                <w:rFonts w:cstheme="minorHAnsi"/>
                <w:sz w:val="20"/>
                <w:szCs w:val="20"/>
              </w:rPr>
            </w:pPr>
            <w:sdt>
              <w:sdtPr>
                <w:rPr>
                  <w:rFonts w:cstheme="minorHAnsi"/>
                  <w:sz w:val="20"/>
                  <w:szCs w:val="20"/>
                </w:rPr>
                <w:id w:val="653033931"/>
                <w:placeholder>
                  <w:docPart w:val="0B2A210645AC4932B79B1E6BBF6EA853"/>
                </w:placeholder>
                <w:dropDownList>
                  <w:listItem w:displayText="Choose Currency" w:value="Choose Currency"/>
                  <w:listItem w:displayText="USD" w:value="USD"/>
                  <w:listItem w:displayText="EUR" w:value="EUR"/>
                </w:dropDownList>
              </w:sdtPr>
              <w:sdtEndPr/>
              <w:sdtContent>
                <w:r w:rsidR="006901ED" w:rsidRPr="0016058E">
                  <w:rPr>
                    <w:rFonts w:cstheme="minorHAnsi"/>
                    <w:sz w:val="20"/>
                    <w:szCs w:val="20"/>
                  </w:rPr>
                  <w:t>USD</w:t>
                </w:r>
              </w:sdtContent>
            </w:sdt>
          </w:p>
          <w:p w14:paraId="7E199AAA" w14:textId="51CF710D" w:rsidR="00556639" w:rsidRPr="0016058E" w:rsidRDefault="006326C8" w:rsidP="00653A4E">
            <w:pPr>
              <w:spacing w:before="120" w:after="120" w:line="240" w:lineRule="auto"/>
              <w:jc w:val="both"/>
              <w:rPr>
                <w:color w:val="A6A6A6" w:themeColor="background1" w:themeShade="A6"/>
                <w:sz w:val="20"/>
                <w:szCs w:val="20"/>
              </w:rPr>
            </w:pPr>
            <w:r w:rsidRPr="007F0DED">
              <w:rPr>
                <w:sz w:val="20"/>
                <w:szCs w:val="20"/>
              </w:rPr>
              <w:t>999</w:t>
            </w:r>
            <w:r w:rsidR="00E02467" w:rsidRPr="007F0DED">
              <w:rPr>
                <w:sz w:val="20"/>
                <w:szCs w:val="20"/>
              </w:rPr>
              <w:t>,</w:t>
            </w:r>
            <w:r w:rsidR="0014194D" w:rsidRPr="007F0DED">
              <w:rPr>
                <w:sz w:val="20"/>
                <w:szCs w:val="20"/>
              </w:rPr>
              <w:t>602</w:t>
            </w:r>
            <w:r w:rsidRPr="007F0DED">
              <w:rPr>
                <w:sz w:val="20"/>
                <w:szCs w:val="20"/>
              </w:rPr>
              <w:t>.00</w:t>
            </w:r>
            <w:r w:rsidR="004D2412" w:rsidRPr="0016058E">
              <w:rPr>
                <w:sz w:val="20"/>
                <w:szCs w:val="20"/>
              </w:rPr>
              <w:t xml:space="preserve"> </w:t>
            </w:r>
          </w:p>
        </w:tc>
      </w:tr>
      <w:tr w:rsidR="00556639" w:rsidRPr="00E65BBE" w14:paraId="235B6655" w14:textId="77777777" w:rsidTr="009E664F">
        <w:trPr>
          <w:gridAfter w:val="1"/>
          <w:wAfter w:w="15" w:type="dxa"/>
          <w:trHeight w:val="659"/>
        </w:trPr>
        <w:tc>
          <w:tcPr>
            <w:tcW w:w="2556" w:type="dxa"/>
            <w:shd w:val="clear" w:color="auto" w:fill="D9D9D9" w:themeFill="background1" w:themeFillShade="D9"/>
            <w:noWrap/>
          </w:tcPr>
          <w:p w14:paraId="3B3A1F69" w14:textId="22978FAD" w:rsidR="00556639" w:rsidRPr="00E04AEC" w:rsidRDefault="00556639" w:rsidP="00163FD5">
            <w:pPr>
              <w:pStyle w:val="ListParagraph"/>
              <w:numPr>
                <w:ilvl w:val="1"/>
                <w:numId w:val="2"/>
              </w:numPr>
              <w:shd w:val="clear" w:color="auto" w:fill="D9D9D9" w:themeFill="background1" w:themeFillShade="D9"/>
              <w:tabs>
                <w:tab w:val="left" w:pos="456"/>
                <w:tab w:val="left" w:pos="7200"/>
              </w:tabs>
              <w:ind w:left="456" w:hanging="511"/>
              <w:rPr>
                <w:b/>
                <w:color w:val="276E8B" w:themeColor="accent1" w:themeShade="BF"/>
                <w:sz w:val="20"/>
                <w:szCs w:val="20"/>
              </w:rPr>
            </w:pPr>
            <w:r w:rsidRPr="03565431">
              <w:rPr>
                <w:b/>
                <w:color w:val="276E8B" w:themeColor="accent1" w:themeShade="BF"/>
                <w:sz w:val="20"/>
                <w:szCs w:val="20"/>
              </w:rPr>
              <w:t>Implementation period</w:t>
            </w:r>
            <w:r w:rsidR="00A12F81">
              <w:rPr>
                <w:rStyle w:val="FootnoteReference"/>
                <w:rFonts w:cstheme="minorHAnsi"/>
                <w:b/>
                <w:color w:val="276E8B" w:themeColor="accent1" w:themeShade="BF"/>
                <w:sz w:val="20"/>
                <w:szCs w:val="20"/>
              </w:rPr>
              <w:footnoteReference w:id="3"/>
            </w:r>
          </w:p>
        </w:tc>
        <w:sdt>
          <w:sdtPr>
            <w:rPr>
              <w:sz w:val="20"/>
              <w:szCs w:val="20"/>
            </w:rPr>
            <w:id w:val="-321131364"/>
            <w:placeholder>
              <w:docPart w:val="5CF5747FF21D48F7969B0FB21D5F2603"/>
            </w:placeholder>
            <w:comboBox>
              <w:listItem w:displayText="Please specify duration in multiples of six months." w:value="Please specify duration in multiples of six months."/>
              <w:listItem w:displayText="6 months" w:value="6 months"/>
              <w:listItem w:displayText="12 months" w:value="12 months"/>
              <w:listItem w:displayText="18 months" w:value="18 months"/>
              <w:listItem w:displayText="24 months" w:value="24 months"/>
              <w:listItem w:displayText="30 months" w:value="30 months"/>
              <w:listItem w:displayText="36 months" w:value="36 months"/>
              <w:listItem w:displayText="42 months" w:value="42 months"/>
              <w:listItem w:displayText="48 months" w:value="48 months"/>
              <w:listItem w:displayText="54 months" w:value="54 months"/>
              <w:listItem w:displayText="60 months" w:value="60 months"/>
            </w:comboBox>
          </w:sdtPr>
          <w:sdtEndPr/>
          <w:sdtContent>
            <w:tc>
              <w:tcPr>
                <w:tcW w:w="6937" w:type="dxa"/>
                <w:gridSpan w:val="3"/>
                <w:shd w:val="clear" w:color="auto" w:fill="auto"/>
                <w:vAlign w:val="center"/>
              </w:tcPr>
              <w:p w14:paraId="7CCEC4A8" w14:textId="72A641FF" w:rsidR="00556639" w:rsidRPr="00E65BBE" w:rsidRDefault="006901ED" w:rsidP="00653A4E">
                <w:pPr>
                  <w:spacing w:before="120" w:after="120" w:line="240" w:lineRule="auto"/>
                  <w:jc w:val="both"/>
                  <w:rPr>
                    <w:rFonts w:cstheme="minorHAnsi"/>
                    <w:color w:val="A6A6A6" w:themeColor="background1" w:themeShade="A6"/>
                    <w:sz w:val="20"/>
                    <w:szCs w:val="20"/>
                  </w:rPr>
                </w:pPr>
                <w:r w:rsidRPr="007F5420">
                  <w:rPr>
                    <w:rFonts w:cstheme="minorHAnsi"/>
                    <w:sz w:val="20"/>
                    <w:szCs w:val="20"/>
                  </w:rPr>
                  <w:t>24 months</w:t>
                </w:r>
              </w:p>
            </w:tc>
          </w:sdtContent>
        </w:sdt>
      </w:tr>
      <w:tr w:rsidR="00556639" w:rsidRPr="00E65BBE" w14:paraId="05F16795" w14:textId="77777777" w:rsidTr="009E664F">
        <w:trPr>
          <w:gridAfter w:val="1"/>
          <w:wAfter w:w="15" w:type="dxa"/>
          <w:trHeight w:val="659"/>
        </w:trPr>
        <w:tc>
          <w:tcPr>
            <w:tcW w:w="2556" w:type="dxa"/>
            <w:shd w:val="clear" w:color="auto" w:fill="D9D9D9" w:themeFill="background1" w:themeFillShade="D9"/>
            <w:noWrap/>
          </w:tcPr>
          <w:p w14:paraId="798C551D" w14:textId="2805773A" w:rsidR="00556639" w:rsidRPr="00E04AEC" w:rsidRDefault="00556639" w:rsidP="00163FD5">
            <w:pPr>
              <w:pStyle w:val="ListParagraph"/>
              <w:numPr>
                <w:ilvl w:val="1"/>
                <w:numId w:val="2"/>
              </w:numPr>
              <w:shd w:val="clear" w:color="auto" w:fill="D9D9D9" w:themeFill="background1" w:themeFillShade="D9"/>
              <w:tabs>
                <w:tab w:val="left" w:pos="456"/>
                <w:tab w:val="left" w:pos="7200"/>
              </w:tabs>
              <w:ind w:left="456" w:hanging="511"/>
              <w:rPr>
                <w:rFonts w:cstheme="minorHAnsi"/>
                <w:b/>
                <w:color w:val="276E8B" w:themeColor="accent1" w:themeShade="BF"/>
                <w:sz w:val="20"/>
                <w:szCs w:val="20"/>
              </w:rPr>
            </w:pPr>
            <w:r w:rsidRPr="00E04AEC">
              <w:rPr>
                <w:rFonts w:cstheme="minorHAnsi"/>
                <w:b/>
                <w:color w:val="276E8B" w:themeColor="accent1" w:themeShade="BF"/>
                <w:sz w:val="20"/>
                <w:szCs w:val="20"/>
              </w:rPr>
              <w:t>Is this request a multiple-year strategic Readiness implementation request?</w:t>
            </w:r>
            <w:r w:rsidRPr="00E04AEC">
              <w:rPr>
                <w:rStyle w:val="FootnoteReference"/>
                <w:rFonts w:cstheme="minorHAnsi"/>
                <w:b/>
                <w:color w:val="276E8B" w:themeColor="accent1" w:themeShade="BF"/>
                <w:sz w:val="20"/>
                <w:szCs w:val="20"/>
              </w:rPr>
              <w:footnoteReference w:id="4"/>
            </w:r>
          </w:p>
        </w:tc>
        <w:tc>
          <w:tcPr>
            <w:tcW w:w="6937" w:type="dxa"/>
            <w:gridSpan w:val="3"/>
            <w:shd w:val="clear" w:color="auto" w:fill="auto"/>
            <w:vAlign w:val="center"/>
          </w:tcPr>
          <w:p w14:paraId="17AA2DAD" w14:textId="67B82C3F" w:rsidR="00556639" w:rsidRPr="00E65BBE" w:rsidRDefault="00556639" w:rsidP="00653A4E">
            <w:pPr>
              <w:spacing w:after="0" w:line="240" w:lineRule="auto"/>
              <w:jc w:val="both"/>
              <w:rPr>
                <w:rFonts w:cstheme="minorHAnsi"/>
                <w:color w:val="000000"/>
                <w:sz w:val="20"/>
                <w:szCs w:val="20"/>
              </w:rPr>
            </w:pPr>
            <w:r w:rsidRPr="00E65BBE">
              <w:rPr>
                <w:rFonts w:ascii="Segoe UI Symbol" w:eastAsia="MS Gothic" w:hAnsi="Segoe UI Symbol" w:cs="Segoe UI Symbol"/>
                <w:color w:val="000000"/>
                <w:sz w:val="20"/>
                <w:szCs w:val="20"/>
              </w:rPr>
              <w:t>☐</w:t>
            </w:r>
            <w:r w:rsidRPr="00E65BBE">
              <w:rPr>
                <w:rFonts w:cstheme="minorHAnsi"/>
                <w:color w:val="000000"/>
                <w:sz w:val="20"/>
                <w:szCs w:val="20"/>
              </w:rPr>
              <w:t xml:space="preserve"> Yes </w:t>
            </w:r>
          </w:p>
          <w:p w14:paraId="01DC929E" w14:textId="62276A58" w:rsidR="00556639" w:rsidRPr="007F5420" w:rsidRDefault="00BB49FA" w:rsidP="007F5420">
            <w:pPr>
              <w:spacing w:after="0" w:line="240" w:lineRule="auto"/>
              <w:jc w:val="both"/>
              <w:rPr>
                <w:rFonts w:cstheme="minorHAnsi"/>
                <w:color w:val="000000"/>
                <w:sz w:val="20"/>
                <w:szCs w:val="20"/>
              </w:rPr>
            </w:pPr>
            <w:r>
              <w:rPr>
                <w:rFonts w:ascii="Segoe UI Symbol" w:eastAsia="MS Gothic" w:hAnsi="Segoe UI Symbol" w:cs="Segoe UI Symbol"/>
                <w:color w:val="000000"/>
                <w:sz w:val="20"/>
                <w:szCs w:val="20"/>
              </w:rPr>
              <w:t>⊠</w:t>
            </w:r>
            <w:r w:rsidR="00556639" w:rsidRPr="00E65BBE">
              <w:rPr>
                <w:rFonts w:cstheme="minorHAnsi"/>
                <w:color w:val="000000"/>
                <w:sz w:val="20"/>
                <w:szCs w:val="20"/>
              </w:rPr>
              <w:t xml:space="preserve"> No</w:t>
            </w:r>
          </w:p>
        </w:tc>
      </w:tr>
      <w:tr w:rsidR="00556639" w:rsidRPr="00E65BBE" w14:paraId="6CE6E805" w14:textId="77777777" w:rsidTr="009E664F">
        <w:trPr>
          <w:gridAfter w:val="1"/>
          <w:wAfter w:w="15" w:type="dxa"/>
          <w:trHeight w:val="1677"/>
        </w:trPr>
        <w:tc>
          <w:tcPr>
            <w:tcW w:w="2556" w:type="dxa"/>
            <w:shd w:val="clear" w:color="auto" w:fill="D9D9D9" w:themeFill="background1" w:themeFillShade="D9"/>
            <w:noWrap/>
          </w:tcPr>
          <w:p w14:paraId="191F6ABE" w14:textId="545488DA" w:rsidR="00556639" w:rsidRPr="00E04AEC" w:rsidRDefault="00556639" w:rsidP="00163FD5">
            <w:pPr>
              <w:pStyle w:val="ListParagraph"/>
              <w:numPr>
                <w:ilvl w:val="1"/>
                <w:numId w:val="2"/>
              </w:numPr>
              <w:shd w:val="clear" w:color="auto" w:fill="D9D9D9" w:themeFill="background1" w:themeFillShade="D9"/>
              <w:tabs>
                <w:tab w:val="left" w:pos="456"/>
                <w:tab w:val="left" w:pos="7200"/>
              </w:tabs>
              <w:ind w:left="456" w:hanging="511"/>
              <w:rPr>
                <w:rFonts w:eastAsia="Times New Roman" w:cstheme="minorHAnsi"/>
                <w:b/>
                <w:color w:val="276E8B" w:themeColor="accent1" w:themeShade="BF"/>
                <w:sz w:val="20"/>
                <w:szCs w:val="20"/>
                <w:lang w:eastAsia="ja-JP"/>
              </w:rPr>
            </w:pPr>
            <w:r w:rsidRPr="00E04AEC">
              <w:rPr>
                <w:rFonts w:cstheme="minorHAnsi"/>
                <w:b/>
                <w:color w:val="276E8B" w:themeColor="accent1" w:themeShade="BF"/>
                <w:sz w:val="20"/>
                <w:szCs w:val="20"/>
              </w:rPr>
              <w:t xml:space="preserve">Brief summary of the request </w:t>
            </w:r>
          </w:p>
        </w:tc>
        <w:tc>
          <w:tcPr>
            <w:tcW w:w="6937" w:type="dxa"/>
            <w:gridSpan w:val="3"/>
            <w:shd w:val="clear" w:color="auto" w:fill="auto"/>
            <w:vAlign w:val="center"/>
          </w:tcPr>
          <w:p w14:paraId="50462BB6" w14:textId="77777777" w:rsidR="00C8366A" w:rsidRPr="001F47BF" w:rsidRDefault="00C8366A" w:rsidP="00C8366A">
            <w:pPr>
              <w:spacing w:before="120" w:after="120" w:line="240" w:lineRule="auto"/>
              <w:ind w:right="-29"/>
              <w:jc w:val="both"/>
              <w:rPr>
                <w:rFonts w:cstheme="minorHAnsi"/>
                <w:sz w:val="20"/>
                <w:szCs w:val="20"/>
              </w:rPr>
            </w:pPr>
            <w:r w:rsidRPr="001F47BF">
              <w:rPr>
                <w:rFonts w:cstheme="minorHAnsi"/>
                <w:sz w:val="20"/>
                <w:szCs w:val="20"/>
              </w:rPr>
              <w:t>i) Climate background and institutional and policy context:</w:t>
            </w:r>
          </w:p>
          <w:p w14:paraId="4D2C597C" w14:textId="5D6AA3C4" w:rsidR="00980455" w:rsidRPr="00EC5FA4" w:rsidRDefault="00980455" w:rsidP="00980455">
            <w:pPr>
              <w:spacing w:before="120" w:after="120" w:line="240" w:lineRule="auto"/>
              <w:ind w:right="-29"/>
              <w:jc w:val="both"/>
              <w:rPr>
                <w:rFonts w:cstheme="minorHAnsi"/>
                <w:sz w:val="20"/>
                <w:szCs w:val="20"/>
                <w:lang w:val="en-GB"/>
              </w:rPr>
            </w:pPr>
            <w:r w:rsidRPr="00EC5FA4">
              <w:rPr>
                <w:rFonts w:cstheme="minorHAnsi"/>
                <w:sz w:val="20"/>
                <w:szCs w:val="20"/>
                <w:lang w:val="en-GB"/>
              </w:rPr>
              <w:t xml:space="preserve">Kyrgyzstan, a mountainous nation in Central Asia, is highly susceptible to climate impacts due to its reliance on agriculture, hydropower, and natural resources. The country faces rising risks from temperature increases, glacier retreat, and irregular precipitation, which affect key economic sectors like agriculture and energy. Climate-induced disasters, such as floods and landslides, further threaten livelihoods and infrastructure. </w:t>
            </w:r>
          </w:p>
          <w:p w14:paraId="5869D9D6" w14:textId="5F78291C" w:rsidR="00980455" w:rsidRPr="00EC5FA4" w:rsidRDefault="00980455" w:rsidP="00980455">
            <w:pPr>
              <w:spacing w:before="120" w:after="120" w:line="240" w:lineRule="auto"/>
              <w:ind w:right="-29"/>
              <w:jc w:val="both"/>
              <w:rPr>
                <w:sz w:val="20"/>
                <w:szCs w:val="20"/>
                <w:lang w:val="en-GB"/>
              </w:rPr>
            </w:pPr>
            <w:r w:rsidRPr="4725DE4B">
              <w:rPr>
                <w:sz w:val="20"/>
                <w:szCs w:val="20"/>
                <w:lang w:val="en-GB"/>
              </w:rPr>
              <w:t>To address these challenges, Kyrgyzstan has political</w:t>
            </w:r>
            <w:r w:rsidR="00F65C30" w:rsidRPr="4725DE4B">
              <w:rPr>
                <w:sz w:val="20"/>
                <w:szCs w:val="20"/>
                <w:lang w:val="en-GB"/>
              </w:rPr>
              <w:t>ly</w:t>
            </w:r>
            <w:r w:rsidRPr="4725DE4B">
              <w:rPr>
                <w:sz w:val="20"/>
                <w:szCs w:val="20"/>
                <w:lang w:val="en-GB"/>
              </w:rPr>
              <w:t xml:space="preserve"> commit</w:t>
            </w:r>
            <w:r w:rsidR="00F65C30" w:rsidRPr="4725DE4B">
              <w:rPr>
                <w:sz w:val="20"/>
                <w:szCs w:val="20"/>
                <w:lang w:val="en-GB"/>
              </w:rPr>
              <w:t>ted</w:t>
            </w:r>
            <w:r w:rsidRPr="4725DE4B">
              <w:rPr>
                <w:sz w:val="20"/>
                <w:szCs w:val="20"/>
                <w:lang w:val="en-GB"/>
              </w:rPr>
              <w:t xml:space="preserve"> to achieving carbon neutrality by 2050, as articulated at the highest levels</w:t>
            </w:r>
            <w:r w:rsidR="003576D6" w:rsidRPr="4725DE4B">
              <w:rPr>
                <w:sz w:val="20"/>
                <w:szCs w:val="20"/>
                <w:lang w:val="en-GB"/>
              </w:rPr>
              <w:t xml:space="preserve">, e.g. </w:t>
            </w:r>
            <w:r w:rsidR="003576D6" w:rsidRPr="000D7ABC">
              <w:rPr>
                <w:rFonts w:ascii="Arial" w:hAnsi="Arial" w:cs="Arial"/>
                <w:sz w:val="20"/>
                <w:szCs w:val="20"/>
              </w:rPr>
              <w:t>to achieve carbon neutrality by 2050</w:t>
            </w:r>
            <w:r w:rsidR="003576D6">
              <w:rPr>
                <w:rFonts w:ascii="Arial" w:hAnsi="Arial" w:cs="Arial"/>
                <w:sz w:val="20"/>
                <w:szCs w:val="20"/>
              </w:rPr>
              <w:t xml:space="preserve"> per the statement</w:t>
            </w:r>
            <w:r w:rsidR="003576D6" w:rsidRPr="000D7ABC">
              <w:rPr>
                <w:rFonts w:ascii="Arial" w:hAnsi="Arial" w:cs="Arial"/>
                <w:sz w:val="20"/>
                <w:szCs w:val="20"/>
              </w:rPr>
              <w:t xml:space="preserve"> </w:t>
            </w:r>
            <w:r w:rsidR="00B36A35">
              <w:rPr>
                <w:rFonts w:ascii="Arial" w:hAnsi="Arial" w:cs="Arial"/>
                <w:sz w:val="20"/>
                <w:szCs w:val="20"/>
              </w:rPr>
              <w:t>of</w:t>
            </w:r>
            <w:r w:rsidR="003576D6" w:rsidRPr="000D7ABC">
              <w:rPr>
                <w:rFonts w:ascii="Arial" w:hAnsi="Arial" w:cs="Arial"/>
                <w:sz w:val="20"/>
                <w:szCs w:val="20"/>
              </w:rPr>
              <w:t xml:space="preserve"> the President of the </w:t>
            </w:r>
            <w:r w:rsidR="003576D6" w:rsidRPr="000D7ABC">
              <w:rPr>
                <w:rFonts w:ascii="Arial" w:hAnsi="Arial" w:cs="Arial"/>
                <w:sz w:val="20"/>
                <w:szCs w:val="20"/>
              </w:rPr>
              <w:lastRenderedPageBreak/>
              <w:t xml:space="preserve">Kyrgyz Republic in his </w:t>
            </w:r>
            <w:r w:rsidR="003576D6" w:rsidRPr="2146E35C">
              <w:rPr>
                <w:rFonts w:ascii="Arial" w:hAnsi="Arial" w:cs="Arial"/>
                <w:sz w:val="20"/>
                <w:szCs w:val="20"/>
              </w:rPr>
              <w:t>message</w:t>
            </w:r>
            <w:r w:rsidR="6F086748" w:rsidRPr="2146E35C">
              <w:rPr>
                <w:rFonts w:ascii="Arial" w:hAnsi="Arial" w:cs="Arial"/>
                <w:sz w:val="20"/>
                <w:szCs w:val="20"/>
              </w:rPr>
              <w:t>s</w:t>
            </w:r>
            <w:r w:rsidR="003576D6" w:rsidRPr="000D7ABC">
              <w:rPr>
                <w:rFonts w:ascii="Arial" w:hAnsi="Arial" w:cs="Arial"/>
                <w:sz w:val="20"/>
                <w:szCs w:val="20"/>
              </w:rPr>
              <w:t xml:space="preserve"> at the Glasgow </w:t>
            </w:r>
            <w:r w:rsidR="757D0D2A" w:rsidRPr="335609E6">
              <w:rPr>
                <w:rFonts w:ascii="Arial" w:hAnsi="Arial" w:cs="Arial"/>
                <w:sz w:val="20"/>
                <w:szCs w:val="20"/>
              </w:rPr>
              <w:t xml:space="preserve">and Dubai </w:t>
            </w:r>
            <w:r w:rsidR="003576D6" w:rsidRPr="335609E6">
              <w:rPr>
                <w:rFonts w:ascii="Arial" w:hAnsi="Arial" w:cs="Arial"/>
                <w:sz w:val="20"/>
                <w:szCs w:val="20"/>
              </w:rPr>
              <w:t xml:space="preserve">Climate </w:t>
            </w:r>
            <w:r w:rsidR="003576D6" w:rsidRPr="276612AF">
              <w:rPr>
                <w:rFonts w:ascii="Arial" w:hAnsi="Arial" w:cs="Arial"/>
                <w:sz w:val="20"/>
                <w:szCs w:val="20"/>
              </w:rPr>
              <w:t>Summit</w:t>
            </w:r>
            <w:r w:rsidR="48D47E1B" w:rsidRPr="276612AF">
              <w:rPr>
                <w:rFonts w:ascii="Arial" w:hAnsi="Arial" w:cs="Arial"/>
                <w:sz w:val="20"/>
                <w:szCs w:val="20"/>
              </w:rPr>
              <w:t>s</w:t>
            </w:r>
            <w:r w:rsidR="003576D6" w:rsidRPr="276612AF">
              <w:rPr>
                <w:rFonts w:ascii="Arial" w:hAnsi="Arial" w:cs="Arial"/>
                <w:sz w:val="20"/>
                <w:szCs w:val="20"/>
              </w:rPr>
              <w:t>.</w:t>
            </w:r>
            <w:r w:rsidR="003576D6" w:rsidRPr="000D7ABC">
              <w:rPr>
                <w:rFonts w:ascii="Arial" w:hAnsi="Arial" w:cs="Arial"/>
                <w:sz w:val="20"/>
                <w:szCs w:val="20"/>
              </w:rPr>
              <w:t xml:space="preserve"> Currently</w:t>
            </w:r>
            <w:r w:rsidRPr="4725DE4B">
              <w:rPr>
                <w:sz w:val="20"/>
                <w:szCs w:val="20"/>
                <w:lang w:val="en-GB"/>
              </w:rPr>
              <w:t>, with its updated NDC setting an ambitious target to reduce GHG emissions by 43.62% by 2030, conditional on international support.</w:t>
            </w:r>
            <w:r w:rsidR="009C5F08" w:rsidRPr="4725DE4B">
              <w:rPr>
                <w:sz w:val="20"/>
                <w:szCs w:val="20"/>
                <w:lang w:val="en-GB"/>
              </w:rPr>
              <w:t xml:space="preserve">  </w:t>
            </w:r>
            <w:r w:rsidR="009C5F08" w:rsidRPr="4725DE4B">
              <w:rPr>
                <w:sz w:val="20"/>
                <w:szCs w:val="20"/>
              </w:rPr>
              <w:t>Kyrgyzstan's NDC also prioritizes adaptation measures to address the country's vulnerability to climate impacts. It focuses on sectors such as agriculture, water resources, and disaster risk reduction, emphasizing the need for resilience in light of increasing climate-related risks.</w:t>
            </w:r>
          </w:p>
          <w:p w14:paraId="5056002C" w14:textId="77777777" w:rsidR="00A65740" w:rsidRPr="001F47BF" w:rsidRDefault="00A65740" w:rsidP="00A65740">
            <w:pPr>
              <w:spacing w:before="120" w:after="120" w:line="240" w:lineRule="auto"/>
              <w:ind w:right="-29"/>
              <w:jc w:val="both"/>
              <w:rPr>
                <w:rFonts w:cstheme="minorHAnsi"/>
                <w:sz w:val="20"/>
                <w:szCs w:val="20"/>
              </w:rPr>
            </w:pPr>
            <w:r w:rsidRPr="001F47BF">
              <w:rPr>
                <w:rFonts w:cstheme="minorHAnsi"/>
                <w:sz w:val="20"/>
                <w:szCs w:val="20"/>
              </w:rPr>
              <w:t>ii) Problem statement:</w:t>
            </w:r>
          </w:p>
          <w:p w14:paraId="6FD6CC6B" w14:textId="723A21B0" w:rsidR="00980455" w:rsidRPr="00FA5DC0" w:rsidRDefault="00980455" w:rsidP="00980455">
            <w:pPr>
              <w:spacing w:before="120" w:after="120" w:line="240" w:lineRule="auto"/>
              <w:ind w:right="-29"/>
              <w:jc w:val="both"/>
              <w:rPr>
                <w:rFonts w:cstheme="minorHAnsi"/>
                <w:sz w:val="20"/>
                <w:szCs w:val="20"/>
                <w:lang w:val="en-GB"/>
              </w:rPr>
            </w:pPr>
            <w:r w:rsidRPr="00FA5DC0">
              <w:rPr>
                <w:rFonts w:cstheme="minorHAnsi"/>
                <w:sz w:val="20"/>
                <w:szCs w:val="20"/>
                <w:lang w:val="en-GB"/>
              </w:rPr>
              <w:t>The institutional framework for climate action</w:t>
            </w:r>
            <w:r w:rsidR="00DE128B" w:rsidRPr="00FA5DC0">
              <w:rPr>
                <w:rFonts w:cstheme="minorHAnsi"/>
                <w:sz w:val="20"/>
                <w:szCs w:val="20"/>
                <w:lang w:val="en-GB"/>
              </w:rPr>
              <w:t xml:space="preserve"> and green economy development</w:t>
            </w:r>
            <w:r w:rsidRPr="00FA5DC0">
              <w:rPr>
                <w:rFonts w:cstheme="minorHAnsi"/>
                <w:sz w:val="20"/>
                <w:szCs w:val="20"/>
                <w:lang w:val="en-GB"/>
              </w:rPr>
              <w:t xml:space="preserve"> is anchored in the Ministry of Natural Resources (NDA for GCF), the Ministry of Economy</w:t>
            </w:r>
            <w:r w:rsidR="00DE128B" w:rsidRPr="00FA5DC0">
              <w:rPr>
                <w:rFonts w:cstheme="minorHAnsi"/>
                <w:sz w:val="20"/>
                <w:szCs w:val="20"/>
                <w:lang w:val="en-GB"/>
              </w:rPr>
              <w:t xml:space="preserve"> and Commerce</w:t>
            </w:r>
            <w:r w:rsidRPr="00FA5DC0">
              <w:rPr>
                <w:rFonts w:cstheme="minorHAnsi"/>
                <w:sz w:val="20"/>
                <w:szCs w:val="20"/>
                <w:lang w:val="en-GB"/>
              </w:rPr>
              <w:t>, and the Climate Finance Center. These entities mobilize resources, coordinate strategies, and drive policy implementation. Key national strategies, including the National Development Strategy 2040 and the Green Economy Development Program, emphasize low-carbon and resilient development. Recent progress includes the development of a Green Taxonomy to guide sustainable investments and green finance efforts.</w:t>
            </w:r>
          </w:p>
          <w:p w14:paraId="1E6D115F" w14:textId="00CBBF96" w:rsidR="00980455" w:rsidRDefault="00980455" w:rsidP="00980455">
            <w:pPr>
              <w:spacing w:before="120" w:after="120" w:line="240" w:lineRule="auto"/>
              <w:ind w:right="-29"/>
              <w:jc w:val="both"/>
              <w:rPr>
                <w:rFonts w:cstheme="minorHAnsi"/>
                <w:sz w:val="20"/>
                <w:szCs w:val="20"/>
                <w:lang w:val="en-GB"/>
              </w:rPr>
            </w:pPr>
            <w:r w:rsidRPr="00FA5DC0">
              <w:rPr>
                <w:rFonts w:cstheme="minorHAnsi"/>
                <w:sz w:val="20"/>
                <w:szCs w:val="20"/>
                <w:lang w:val="en-GB"/>
              </w:rPr>
              <w:t>The financial sector</w:t>
            </w:r>
            <w:r w:rsidR="00FA5DC0" w:rsidRPr="00FA5DC0">
              <w:rPr>
                <w:rFonts w:cstheme="minorHAnsi"/>
                <w:sz w:val="20"/>
                <w:szCs w:val="20"/>
                <w:lang w:val="en-GB"/>
              </w:rPr>
              <w:t xml:space="preserve"> </w:t>
            </w:r>
            <w:r w:rsidRPr="00FA5DC0">
              <w:rPr>
                <w:rFonts w:cstheme="minorHAnsi"/>
                <w:sz w:val="20"/>
                <w:szCs w:val="20"/>
                <w:lang w:val="en-GB"/>
              </w:rPr>
              <w:t xml:space="preserve">has begun integrating green finance measures, such as </w:t>
            </w:r>
            <w:r w:rsidR="004E7EFF" w:rsidRPr="004E7EFF">
              <w:rPr>
                <w:rFonts w:cstheme="minorHAnsi"/>
                <w:sz w:val="20"/>
                <w:szCs w:val="20"/>
                <w:lang w:val="en-GB"/>
              </w:rPr>
              <w:t>Environmental, Social, and Governance</w:t>
            </w:r>
            <w:r w:rsidR="004E7EFF">
              <w:rPr>
                <w:rFonts w:cstheme="minorHAnsi"/>
                <w:sz w:val="20"/>
                <w:szCs w:val="20"/>
                <w:lang w:val="en-GB"/>
              </w:rPr>
              <w:t xml:space="preserve"> (</w:t>
            </w:r>
            <w:r w:rsidRPr="00FA5DC0">
              <w:rPr>
                <w:rFonts w:cstheme="minorHAnsi"/>
                <w:sz w:val="20"/>
                <w:szCs w:val="20"/>
                <w:lang w:val="en-GB"/>
              </w:rPr>
              <w:t>ESG</w:t>
            </w:r>
            <w:r w:rsidR="004E7EFF">
              <w:rPr>
                <w:rFonts w:cstheme="minorHAnsi"/>
                <w:sz w:val="20"/>
                <w:szCs w:val="20"/>
                <w:lang w:val="en-GB"/>
              </w:rPr>
              <w:t>)</w:t>
            </w:r>
            <w:r w:rsidRPr="00FA5DC0">
              <w:rPr>
                <w:rFonts w:cstheme="minorHAnsi"/>
                <w:sz w:val="20"/>
                <w:szCs w:val="20"/>
                <w:lang w:val="en-GB"/>
              </w:rPr>
              <w:t xml:space="preserve"> reporting and green lending frameworks. Financial institutions, with support from public budgets and development partners, are expanding green finance portfolios. While fiscal incentives for green initiatives are in place, policy gaps and fragmented approaches persist. Challenges remain in mobilizing international climate finance</w:t>
            </w:r>
            <w:r w:rsidR="001E7997">
              <w:rPr>
                <w:rFonts w:cstheme="minorHAnsi"/>
                <w:sz w:val="20"/>
                <w:szCs w:val="20"/>
                <w:lang w:val="en-GB"/>
              </w:rPr>
              <w:t xml:space="preserve"> and </w:t>
            </w:r>
            <w:r w:rsidRPr="00FA5DC0">
              <w:rPr>
                <w:rFonts w:cstheme="minorHAnsi"/>
                <w:sz w:val="20"/>
                <w:szCs w:val="20"/>
                <w:lang w:val="en-GB"/>
              </w:rPr>
              <w:t>strengthening institutional capacities</w:t>
            </w:r>
            <w:r w:rsidR="001E7997">
              <w:rPr>
                <w:rFonts w:cstheme="minorHAnsi"/>
                <w:sz w:val="20"/>
                <w:szCs w:val="20"/>
                <w:lang w:val="en-GB"/>
              </w:rPr>
              <w:t xml:space="preserve"> to</w:t>
            </w:r>
            <w:r w:rsidRPr="00FA5DC0">
              <w:rPr>
                <w:rFonts w:cstheme="minorHAnsi"/>
                <w:sz w:val="20"/>
                <w:szCs w:val="20"/>
                <w:lang w:val="en-GB"/>
              </w:rPr>
              <w:t xml:space="preserve"> meet climate and sustainable development goals.</w:t>
            </w:r>
          </w:p>
          <w:p w14:paraId="6D84AFD0" w14:textId="77777777" w:rsidR="004515BB" w:rsidRPr="001F47BF" w:rsidRDefault="004515BB" w:rsidP="004515BB">
            <w:pPr>
              <w:spacing w:before="120" w:after="120" w:line="240" w:lineRule="auto"/>
              <w:ind w:right="-29"/>
              <w:jc w:val="both"/>
              <w:rPr>
                <w:rFonts w:cstheme="minorHAnsi"/>
                <w:sz w:val="20"/>
                <w:szCs w:val="20"/>
              </w:rPr>
            </w:pPr>
            <w:r w:rsidRPr="6A6ABD26">
              <w:rPr>
                <w:sz w:val="20"/>
                <w:szCs w:val="20"/>
              </w:rPr>
              <w:t>ii) Problem statement:</w:t>
            </w:r>
          </w:p>
          <w:p w14:paraId="4C5AFD8F" w14:textId="7099A1DE" w:rsidR="001E60A0" w:rsidRDefault="001E60A0" w:rsidP="001E60A0">
            <w:pPr>
              <w:tabs>
                <w:tab w:val="left" w:pos="4606"/>
              </w:tabs>
              <w:spacing w:before="120" w:after="120" w:line="240" w:lineRule="auto"/>
              <w:ind w:right="-29"/>
              <w:jc w:val="both"/>
              <w:rPr>
                <w:rStyle w:val="DefaultText"/>
                <w:color w:val="auto"/>
              </w:rPr>
            </w:pPr>
            <w:r w:rsidRPr="00316BA5">
              <w:rPr>
                <w:rStyle w:val="DefaultText"/>
                <w:color w:val="auto"/>
              </w:rPr>
              <w:t xml:space="preserve">While the government has shown strong commitment to advancing the green and climate agenda through catalytic funding allocations, the financial sector currently lacks the capacity to efficiently channel these funds to beneficiaries and financial institutions. Furthermore, the broader institutional framework, including verification, validation, and reporting systems, remains underdeveloped, limiting its effectiveness in supporting these processes. Existing national regulations also fail to provide sufficient incentives for financial institutions to mobilize and extend green financing. Coupled with the limited capacity of financial institutions to mobilize such finance, this creates a reinforcing cycle of underperformance. This project aims to break this cycle by addressing these challenges </w:t>
            </w:r>
            <w:r w:rsidR="00A35D9F" w:rsidRPr="00316BA5">
              <w:rPr>
                <w:rStyle w:val="DefaultText"/>
                <w:color w:val="auto"/>
              </w:rPr>
              <w:t>holistically enhancing</w:t>
            </w:r>
            <w:r w:rsidRPr="00316BA5">
              <w:rPr>
                <w:rStyle w:val="DefaultText"/>
                <w:color w:val="auto"/>
              </w:rPr>
              <w:t xml:space="preserve"> the capacity of all relevant stakeholders, ensuring the efficient deployment of public funds, catalyzing additional private sector resources, and strengthening the enabling environment to achieve lasting sustainability and impact.</w:t>
            </w:r>
          </w:p>
          <w:p w14:paraId="0E11A516" w14:textId="45C8487F" w:rsidR="004515BB" w:rsidRDefault="006117D5" w:rsidP="00653A4E">
            <w:pPr>
              <w:spacing w:before="120" w:after="120" w:line="240" w:lineRule="auto"/>
              <w:ind w:right="-29"/>
              <w:jc w:val="both"/>
              <w:rPr>
                <w:rFonts w:cstheme="minorHAnsi"/>
                <w:sz w:val="20"/>
                <w:szCs w:val="20"/>
              </w:rPr>
            </w:pPr>
            <w:r w:rsidRPr="001F47BF">
              <w:rPr>
                <w:rFonts w:cstheme="minorHAnsi"/>
                <w:sz w:val="20"/>
                <w:szCs w:val="20"/>
              </w:rPr>
              <w:t>iii) Goal and objectives</w:t>
            </w:r>
          </w:p>
          <w:p w14:paraId="47AA1B4C" w14:textId="128832CD" w:rsidR="00316BA5" w:rsidRDefault="002149D8" w:rsidP="00653A4E">
            <w:pPr>
              <w:spacing w:before="120" w:after="120" w:line="240" w:lineRule="auto"/>
              <w:ind w:right="-29"/>
              <w:jc w:val="both"/>
              <w:rPr>
                <w:rFonts w:cstheme="minorHAnsi"/>
                <w:sz w:val="20"/>
                <w:szCs w:val="20"/>
              </w:rPr>
            </w:pPr>
            <w:r w:rsidRPr="002149D8">
              <w:rPr>
                <w:rFonts w:cstheme="minorHAnsi"/>
                <w:sz w:val="20"/>
                <w:szCs w:val="20"/>
              </w:rPr>
              <w:t>The goal of the project is to ensure Kyrgyzstan can access and implement green finance effectively and transparently. The overall objective is to strengthen an enabling environment for green finance by enhancing regulatory frameworks, incentivizing financial products, developing novel business models, and building stakeholder capacity to advance Kyrgyzstan’s climate goals</w:t>
            </w:r>
            <w:r>
              <w:rPr>
                <w:rFonts w:cstheme="minorHAnsi"/>
                <w:sz w:val="20"/>
                <w:szCs w:val="20"/>
              </w:rPr>
              <w:t>.</w:t>
            </w:r>
          </w:p>
          <w:p w14:paraId="7FC4FC39" w14:textId="77777777" w:rsidR="008A6BE0" w:rsidRDefault="008A6BE0" w:rsidP="008A6BE0">
            <w:pPr>
              <w:spacing w:before="120" w:after="120" w:line="240" w:lineRule="auto"/>
              <w:ind w:right="-29"/>
              <w:jc w:val="both"/>
              <w:rPr>
                <w:rFonts w:cstheme="minorHAnsi"/>
                <w:sz w:val="20"/>
                <w:szCs w:val="20"/>
              </w:rPr>
            </w:pPr>
            <w:r w:rsidRPr="001F47BF">
              <w:rPr>
                <w:rFonts w:cstheme="minorHAnsi"/>
                <w:sz w:val="20"/>
                <w:szCs w:val="20"/>
              </w:rPr>
              <w:t>iv) Direct and indirect beneficiaries</w:t>
            </w:r>
          </w:p>
          <w:p w14:paraId="7570367A" w14:textId="694584EA" w:rsidR="006563DB" w:rsidRPr="00F03CE9" w:rsidRDefault="00DC4430" w:rsidP="00F03CE9">
            <w:pPr>
              <w:spacing w:before="120" w:after="120" w:line="240" w:lineRule="auto"/>
              <w:ind w:left="36" w:right="-29"/>
              <w:jc w:val="both"/>
              <w:rPr>
                <w:rFonts w:cstheme="minorHAnsi"/>
                <w:color w:val="808080" w:themeColor="background1" w:themeShade="80"/>
                <w:sz w:val="20"/>
                <w:szCs w:val="20"/>
              </w:rPr>
            </w:pPr>
            <w:r w:rsidRPr="00316BA5">
              <w:rPr>
                <w:rStyle w:val="DefaultText"/>
                <w:color w:val="000000" w:themeColor="text1"/>
              </w:rPr>
              <w:t xml:space="preserve">By contributing towards the </w:t>
            </w:r>
            <w:r w:rsidR="007748E6" w:rsidRPr="00316BA5">
              <w:rPr>
                <w:rStyle w:val="DefaultText"/>
                <w:color w:val="000000" w:themeColor="text1"/>
              </w:rPr>
              <w:t xml:space="preserve">above </w:t>
            </w:r>
            <w:r w:rsidR="00A123D7" w:rsidRPr="00316BA5">
              <w:rPr>
                <w:rStyle w:val="DefaultText"/>
                <w:color w:val="000000" w:themeColor="text1"/>
              </w:rPr>
              <w:t>objectives</w:t>
            </w:r>
            <w:r w:rsidR="007748E6" w:rsidRPr="00316BA5">
              <w:rPr>
                <w:rStyle w:val="DefaultText"/>
                <w:color w:val="000000" w:themeColor="text1"/>
              </w:rPr>
              <w:t xml:space="preserve"> and targeting the </w:t>
            </w:r>
            <w:r w:rsidR="00A22D14" w:rsidRPr="00316BA5">
              <w:rPr>
                <w:rStyle w:val="DefaultText"/>
                <w:color w:val="000000" w:themeColor="text1"/>
              </w:rPr>
              <w:t>direct</w:t>
            </w:r>
            <w:r w:rsidR="007748E6" w:rsidRPr="00316BA5">
              <w:rPr>
                <w:rStyle w:val="DefaultText"/>
                <w:color w:val="000000" w:themeColor="text1"/>
              </w:rPr>
              <w:t xml:space="preserve"> beneficiaries (NDA,</w:t>
            </w:r>
            <w:r w:rsidR="00965980" w:rsidRPr="00316BA5">
              <w:rPr>
                <w:rStyle w:val="DefaultText"/>
                <w:color w:val="000000" w:themeColor="text1"/>
              </w:rPr>
              <w:t xml:space="preserve"> N</w:t>
            </w:r>
            <w:r w:rsidR="00BF654A" w:rsidRPr="00316BA5">
              <w:rPr>
                <w:rStyle w:val="DefaultText"/>
                <w:color w:val="000000" w:themeColor="text1"/>
              </w:rPr>
              <w:t>ational Bank, Ministry of Economy and Commerce, State Tax and Customs Services,</w:t>
            </w:r>
            <w:r w:rsidR="00A74986" w:rsidRPr="00316BA5">
              <w:rPr>
                <w:rStyle w:val="DefaultText"/>
                <w:color w:val="000000" w:themeColor="text1"/>
              </w:rPr>
              <w:t xml:space="preserve"> Climate Finance Center,</w:t>
            </w:r>
            <w:r w:rsidR="007748E6" w:rsidRPr="00316BA5">
              <w:rPr>
                <w:rStyle w:val="DefaultText"/>
                <w:color w:val="000000" w:themeColor="text1"/>
              </w:rPr>
              <w:t xml:space="preserve"> S</w:t>
            </w:r>
            <w:r w:rsidR="00A74986" w:rsidRPr="00316BA5">
              <w:rPr>
                <w:rStyle w:val="DefaultText"/>
                <w:color w:val="000000" w:themeColor="text1"/>
              </w:rPr>
              <w:t xml:space="preserve">tate </w:t>
            </w:r>
            <w:r w:rsidR="007748E6" w:rsidRPr="00316BA5">
              <w:rPr>
                <w:rStyle w:val="DefaultText"/>
                <w:color w:val="000000" w:themeColor="text1"/>
              </w:rPr>
              <w:t>D</w:t>
            </w:r>
            <w:r w:rsidR="00A74986" w:rsidRPr="00316BA5">
              <w:rPr>
                <w:rStyle w:val="DefaultText"/>
                <w:color w:val="000000" w:themeColor="text1"/>
              </w:rPr>
              <w:t xml:space="preserve">evelopment </w:t>
            </w:r>
            <w:r w:rsidR="007748E6" w:rsidRPr="00316BA5">
              <w:rPr>
                <w:rStyle w:val="DefaultText"/>
                <w:color w:val="000000" w:themeColor="text1"/>
              </w:rPr>
              <w:t>B</w:t>
            </w:r>
            <w:r w:rsidR="00A74986" w:rsidRPr="00316BA5">
              <w:rPr>
                <w:rStyle w:val="DefaultText"/>
                <w:color w:val="000000" w:themeColor="text1"/>
              </w:rPr>
              <w:t>ank</w:t>
            </w:r>
            <w:r w:rsidR="007748E6" w:rsidRPr="00316BA5">
              <w:rPr>
                <w:rStyle w:val="DefaultText"/>
                <w:color w:val="000000" w:themeColor="text1"/>
              </w:rPr>
              <w:t xml:space="preserve">, </w:t>
            </w:r>
            <w:r w:rsidR="00A74986" w:rsidRPr="00316BA5">
              <w:rPr>
                <w:rStyle w:val="DefaultText"/>
                <w:color w:val="000000" w:themeColor="text1"/>
              </w:rPr>
              <w:t>Selected Financial Institutions</w:t>
            </w:r>
            <w:r w:rsidR="00965980" w:rsidRPr="00316BA5">
              <w:rPr>
                <w:rStyle w:val="DefaultText"/>
                <w:color w:val="000000" w:themeColor="text1"/>
              </w:rPr>
              <w:t>, Union of Banks)</w:t>
            </w:r>
            <w:r w:rsidR="000677E5" w:rsidRPr="00316BA5">
              <w:rPr>
                <w:rStyle w:val="DefaultText"/>
                <w:color w:val="000000" w:themeColor="text1"/>
              </w:rPr>
              <w:t>, the Project will advance green finance framework in the country supported by GCF activities.</w:t>
            </w:r>
            <w:r w:rsidR="00F07700" w:rsidRPr="00316BA5">
              <w:rPr>
                <w:rStyle w:val="DefaultText"/>
                <w:color w:val="000000" w:themeColor="text1"/>
              </w:rPr>
              <w:t xml:space="preserve"> </w:t>
            </w:r>
            <w:r w:rsidR="00F03CE9" w:rsidRPr="00316BA5">
              <w:rPr>
                <w:rStyle w:val="DefaultText"/>
                <w:color w:val="000000" w:themeColor="text1"/>
              </w:rPr>
              <w:t xml:space="preserve">The Project will also benefit indirect beneficiaries </w:t>
            </w:r>
            <w:r w:rsidR="00463004" w:rsidRPr="00316BA5">
              <w:rPr>
                <w:rStyle w:val="DefaultText"/>
                <w:color w:val="000000" w:themeColor="text1"/>
              </w:rPr>
              <w:t xml:space="preserve">by </w:t>
            </w:r>
            <w:r w:rsidR="00463004" w:rsidRPr="00316BA5">
              <w:rPr>
                <w:rStyle w:val="DefaultText"/>
                <w:color w:val="000000" w:themeColor="text1"/>
              </w:rPr>
              <w:lastRenderedPageBreak/>
              <w:t>capacitating thr</w:t>
            </w:r>
            <w:r w:rsidR="00801183" w:rsidRPr="00316BA5">
              <w:rPr>
                <w:rStyle w:val="DefaultText"/>
                <w:color w:val="000000" w:themeColor="text1"/>
              </w:rPr>
              <w:t>o</w:t>
            </w:r>
            <w:r w:rsidR="00463004" w:rsidRPr="00316BA5">
              <w:rPr>
                <w:rStyle w:val="DefaultText"/>
                <w:color w:val="000000" w:themeColor="text1"/>
              </w:rPr>
              <w:t>ugh</w:t>
            </w:r>
            <w:r w:rsidR="00F03CE9" w:rsidRPr="00316BA5">
              <w:rPr>
                <w:rStyle w:val="DefaultText"/>
                <w:color w:val="000000" w:themeColor="text1"/>
              </w:rPr>
              <w:t xml:space="preserve"> knowledge products</w:t>
            </w:r>
            <w:r w:rsidR="00A123D7" w:rsidRPr="00316BA5">
              <w:rPr>
                <w:rStyle w:val="DefaultText"/>
                <w:color w:val="000000" w:themeColor="text1"/>
              </w:rPr>
              <w:t xml:space="preserve">, </w:t>
            </w:r>
            <w:r w:rsidR="00F03CE9" w:rsidRPr="00316BA5">
              <w:rPr>
                <w:rStyle w:val="DefaultText"/>
                <w:color w:val="000000" w:themeColor="text1"/>
              </w:rPr>
              <w:t>and development of evidence</w:t>
            </w:r>
            <w:r w:rsidR="00A52DEE" w:rsidRPr="00316BA5">
              <w:rPr>
                <w:rStyle w:val="DefaultText"/>
                <w:color w:val="000000" w:themeColor="text1"/>
              </w:rPr>
              <w:t>-</w:t>
            </w:r>
            <w:r w:rsidR="00F03CE9" w:rsidRPr="00316BA5">
              <w:rPr>
                <w:rStyle w:val="DefaultText"/>
                <w:color w:val="000000" w:themeColor="text1"/>
              </w:rPr>
              <w:t>based policy recommendations.</w:t>
            </w:r>
          </w:p>
        </w:tc>
      </w:tr>
    </w:tbl>
    <w:p w14:paraId="77CB747F" w14:textId="77777777" w:rsidR="00B422A4" w:rsidRDefault="00B422A4" w:rsidP="00B422A4">
      <w:pPr>
        <w:pStyle w:val="ListParagraph"/>
        <w:tabs>
          <w:tab w:val="left" w:pos="720"/>
          <w:tab w:val="left" w:pos="7200"/>
        </w:tabs>
        <w:ind w:left="370"/>
        <w:rPr>
          <w:b/>
          <w:color w:val="276E8B" w:themeColor="accent1" w:themeShade="BF"/>
        </w:rPr>
        <w:sectPr w:rsidR="00B422A4" w:rsidSect="0048348F">
          <w:headerReference w:type="default" r:id="rId24"/>
          <w:pgSz w:w="11907" w:h="16840" w:code="9"/>
          <w:pgMar w:top="1440" w:right="1440" w:bottom="1440" w:left="1440" w:header="720" w:footer="720" w:gutter="0"/>
          <w:cols w:space="720"/>
          <w:docGrid w:linePitch="360"/>
        </w:sectPr>
      </w:pPr>
    </w:p>
    <w:p w14:paraId="46DA319D" w14:textId="5223BC5B" w:rsidR="00E32A93" w:rsidRPr="00B422A4" w:rsidRDefault="00F97840" w:rsidP="00B422A4">
      <w:pPr>
        <w:pStyle w:val="ListParagraph"/>
        <w:numPr>
          <w:ilvl w:val="1"/>
          <w:numId w:val="2"/>
        </w:numPr>
        <w:tabs>
          <w:tab w:val="left" w:pos="720"/>
          <w:tab w:val="left" w:pos="7200"/>
        </w:tabs>
        <w:rPr>
          <w:b/>
          <w:color w:val="276E8B" w:themeColor="accent1" w:themeShade="BF"/>
        </w:rPr>
      </w:pPr>
      <w:r w:rsidRPr="00E04AEC">
        <w:rPr>
          <w:b/>
          <w:color w:val="276E8B" w:themeColor="accent1" w:themeShade="BF"/>
        </w:rPr>
        <w:lastRenderedPageBreak/>
        <w:t>List of abbreviations</w:t>
      </w:r>
    </w:p>
    <w:tbl>
      <w:tblPr>
        <w:tblStyle w:val="GridTable4-Accent1"/>
        <w:tblW w:w="9924" w:type="dxa"/>
        <w:tblInd w:w="-431" w:type="dxa"/>
        <w:tblLook w:val="04A0" w:firstRow="1" w:lastRow="0" w:firstColumn="1" w:lastColumn="0" w:noHBand="0" w:noVBand="1"/>
      </w:tblPr>
      <w:tblGrid>
        <w:gridCol w:w="2269"/>
        <w:gridCol w:w="7655"/>
      </w:tblGrid>
      <w:tr w:rsidR="00F97840" w14:paraId="494DCDA6" w14:textId="77777777" w:rsidTr="006569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69681A3F" w14:textId="77777777" w:rsidR="00F97840" w:rsidRPr="00A83EAB" w:rsidRDefault="00F97840" w:rsidP="003E089D">
            <w:pPr>
              <w:spacing w:after="120"/>
              <w:rPr>
                <w:lang w:val="en-GB"/>
              </w:rPr>
            </w:pPr>
            <w:r w:rsidRPr="00A83EAB">
              <w:rPr>
                <w:lang w:val="en-GB"/>
              </w:rPr>
              <w:t>Abbreviation (alphabetical order)</w:t>
            </w:r>
          </w:p>
        </w:tc>
        <w:tc>
          <w:tcPr>
            <w:tcW w:w="7655" w:type="dxa"/>
          </w:tcPr>
          <w:p w14:paraId="59C3D84C" w14:textId="77777777" w:rsidR="00F97840" w:rsidRPr="00A83EAB" w:rsidRDefault="00F97840" w:rsidP="003E089D">
            <w:pPr>
              <w:spacing w:after="120"/>
              <w:cnfStyle w:val="100000000000" w:firstRow="1" w:lastRow="0" w:firstColumn="0" w:lastColumn="0" w:oddVBand="0" w:evenVBand="0" w:oddHBand="0" w:evenHBand="0" w:firstRowFirstColumn="0" w:firstRowLastColumn="0" w:lastRowFirstColumn="0" w:lastRowLastColumn="0"/>
              <w:rPr>
                <w:lang w:val="en-GB"/>
              </w:rPr>
            </w:pPr>
            <w:r w:rsidRPr="00A83EAB">
              <w:rPr>
                <w:lang w:val="en-GB"/>
              </w:rPr>
              <w:t>Meaning</w:t>
            </w:r>
          </w:p>
        </w:tc>
      </w:tr>
      <w:tr w:rsidR="00B32745" w14:paraId="2572513E"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15F9DDBC" w14:textId="65261527" w:rsidR="00B32745" w:rsidRPr="00145DE4" w:rsidRDefault="00B32745" w:rsidP="00934776">
            <w:pPr>
              <w:spacing w:after="40"/>
              <w:rPr>
                <w:rFonts w:ascii="Arial" w:hAnsi="Arial" w:cs="Arial"/>
                <w:lang w:val="en-GB"/>
              </w:rPr>
            </w:pPr>
            <w:r w:rsidRPr="007E5E52">
              <w:t>ADB</w:t>
            </w:r>
          </w:p>
        </w:tc>
        <w:tc>
          <w:tcPr>
            <w:tcW w:w="7655" w:type="dxa"/>
          </w:tcPr>
          <w:p w14:paraId="2DBC2208" w14:textId="6E34C81F" w:rsidR="00B32745" w:rsidRDefault="00B32745" w:rsidP="00934776">
            <w:pPr>
              <w:spacing w:after="4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E5E52">
              <w:t>Asian Development Bank</w:t>
            </w:r>
          </w:p>
        </w:tc>
      </w:tr>
      <w:tr w:rsidR="00B32745" w14:paraId="70A41D2E"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2F8D36FF" w14:textId="45C86F65" w:rsidR="00B32745" w:rsidRPr="00145DE4" w:rsidRDefault="00B32745" w:rsidP="00934776">
            <w:pPr>
              <w:spacing w:after="40"/>
              <w:rPr>
                <w:lang w:val="en-GB"/>
              </w:rPr>
            </w:pPr>
            <w:r w:rsidRPr="007E5E52">
              <w:t>ARIS</w:t>
            </w:r>
          </w:p>
        </w:tc>
        <w:tc>
          <w:tcPr>
            <w:tcW w:w="7655" w:type="dxa"/>
          </w:tcPr>
          <w:p w14:paraId="5783A6D5" w14:textId="33224DC4"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Community Development and Investment Agency</w:t>
            </w:r>
          </w:p>
        </w:tc>
      </w:tr>
      <w:tr w:rsidR="00B32745" w14:paraId="73C49412"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3FFDB6D4" w14:textId="2871EF61" w:rsidR="00B32745" w:rsidRPr="007E6DB4" w:rsidRDefault="00B32745" w:rsidP="00934776">
            <w:pPr>
              <w:spacing w:after="40"/>
              <w:rPr>
                <w:bCs w:val="0"/>
                <w:lang w:val="en-GB"/>
              </w:rPr>
            </w:pPr>
            <w:r w:rsidRPr="007E5E52">
              <w:t>CAGR</w:t>
            </w:r>
          </w:p>
        </w:tc>
        <w:tc>
          <w:tcPr>
            <w:tcW w:w="7655" w:type="dxa"/>
          </w:tcPr>
          <w:p w14:paraId="035BCC98" w14:textId="31049853"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Compound annual growth rate</w:t>
            </w:r>
          </w:p>
        </w:tc>
      </w:tr>
      <w:tr w:rsidR="00B32745" w14:paraId="25535A46"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480925DA" w14:textId="7962A91A" w:rsidR="00B32745" w:rsidRPr="00A5772C" w:rsidRDefault="00B32745" w:rsidP="00934776">
            <w:pPr>
              <w:spacing w:after="40"/>
              <w:rPr>
                <w:bCs w:val="0"/>
                <w:lang w:val="en-GB"/>
              </w:rPr>
            </w:pPr>
            <w:r w:rsidRPr="007E5E52">
              <w:t>CEDAW</w:t>
            </w:r>
          </w:p>
        </w:tc>
        <w:tc>
          <w:tcPr>
            <w:tcW w:w="7655" w:type="dxa"/>
          </w:tcPr>
          <w:p w14:paraId="21FDEBFF" w14:textId="2E8E1389"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Convention on the Elimination of All Forms of Discrimination against Women</w:t>
            </w:r>
          </w:p>
        </w:tc>
      </w:tr>
      <w:tr w:rsidR="00B32745" w14:paraId="2CE45A2F"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7D6F0A28" w14:textId="07C00B8C" w:rsidR="00B32745" w:rsidRPr="00E23365" w:rsidRDefault="00B32745" w:rsidP="00934776">
            <w:pPr>
              <w:spacing w:after="40"/>
            </w:pPr>
            <w:r w:rsidRPr="007E5E52">
              <w:t>CFC</w:t>
            </w:r>
          </w:p>
        </w:tc>
        <w:tc>
          <w:tcPr>
            <w:tcW w:w="7655" w:type="dxa"/>
          </w:tcPr>
          <w:p w14:paraId="27E5907A" w14:textId="0AA6DBAF"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Climate Finance Center</w:t>
            </w:r>
          </w:p>
        </w:tc>
      </w:tr>
      <w:tr w:rsidR="00B32745" w14:paraId="69C8F308"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37EAA430" w14:textId="302BDABE" w:rsidR="00B32745" w:rsidRPr="00001472" w:rsidRDefault="00B32745" w:rsidP="00934776">
            <w:pPr>
              <w:spacing w:after="40"/>
              <w:rPr>
                <w:rFonts w:asciiTheme="majorHAnsi" w:hAnsiTheme="majorHAnsi" w:cstheme="majorHAnsi"/>
                <w:sz w:val="20"/>
                <w:szCs w:val="20"/>
                <w:highlight w:val="yellow"/>
              </w:rPr>
            </w:pPr>
            <w:r w:rsidRPr="007E5E52">
              <w:t>DAE</w:t>
            </w:r>
          </w:p>
        </w:tc>
        <w:tc>
          <w:tcPr>
            <w:tcW w:w="7655" w:type="dxa"/>
          </w:tcPr>
          <w:p w14:paraId="3FA9A26D" w14:textId="7155BFA1"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Direct Access Entity</w:t>
            </w:r>
          </w:p>
        </w:tc>
      </w:tr>
      <w:tr w:rsidR="00B32745" w14:paraId="7F3C8B5F"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5DC2A3BC" w14:textId="45977099" w:rsidR="00B32745" w:rsidRPr="00145DE4" w:rsidRDefault="00B32745" w:rsidP="00934776">
            <w:pPr>
              <w:spacing w:after="40"/>
              <w:rPr>
                <w:lang w:val="en-GB"/>
              </w:rPr>
            </w:pPr>
            <w:r w:rsidRPr="007E5E52">
              <w:t>DP</w:t>
            </w:r>
          </w:p>
        </w:tc>
        <w:tc>
          <w:tcPr>
            <w:tcW w:w="7655" w:type="dxa"/>
          </w:tcPr>
          <w:p w14:paraId="0F104BE7" w14:textId="4AE0C8FA"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Delivery Partner</w:t>
            </w:r>
          </w:p>
        </w:tc>
      </w:tr>
      <w:tr w:rsidR="009A01A0" w14:paraId="425531D9"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7F2E34FB" w14:textId="23AF1A49" w:rsidR="009A01A0" w:rsidRPr="007E5E52" w:rsidRDefault="009A01A0" w:rsidP="00934776">
            <w:pPr>
              <w:spacing w:after="40"/>
            </w:pPr>
            <w:r>
              <w:t>ECCDRM</w:t>
            </w:r>
          </w:p>
        </w:tc>
        <w:tc>
          <w:tcPr>
            <w:tcW w:w="7655" w:type="dxa"/>
          </w:tcPr>
          <w:p w14:paraId="2AB379D2" w14:textId="098F7459" w:rsidR="009A01A0" w:rsidRPr="007E5E52" w:rsidRDefault="009A01A0" w:rsidP="00934776">
            <w:pPr>
              <w:spacing w:after="40"/>
              <w:cnfStyle w:val="000000000000" w:firstRow="0" w:lastRow="0" w:firstColumn="0" w:lastColumn="0" w:oddVBand="0" w:evenVBand="0" w:oddHBand="0" w:evenHBand="0" w:firstRowFirstColumn="0" w:firstRowLastColumn="0" w:lastRowFirstColumn="0" w:lastRowLastColumn="0"/>
            </w:pPr>
            <w:r w:rsidRPr="009A01A0">
              <w:t>Environment, Climate Change and Disaster Risk Management</w:t>
            </w:r>
          </w:p>
        </w:tc>
      </w:tr>
      <w:tr w:rsidR="00B32745" w14:paraId="29865957"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5481159C" w14:textId="6D85D9A1" w:rsidR="00B32745" w:rsidRPr="00145DE4" w:rsidRDefault="00B32745" w:rsidP="00934776">
            <w:pPr>
              <w:spacing w:after="40"/>
              <w:rPr>
                <w:lang w:val="en-GB"/>
              </w:rPr>
            </w:pPr>
            <w:r w:rsidRPr="007E5E52">
              <w:t>ESG</w:t>
            </w:r>
          </w:p>
        </w:tc>
        <w:tc>
          <w:tcPr>
            <w:tcW w:w="7655" w:type="dxa"/>
          </w:tcPr>
          <w:p w14:paraId="7726E0AE" w14:textId="2E20F689"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Environmental, Social, Governance principles</w:t>
            </w:r>
          </w:p>
        </w:tc>
      </w:tr>
      <w:tr w:rsidR="00C15F34" w14:paraId="1A56D87F"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691DB34E" w14:textId="6DCA8385" w:rsidR="00C15F34" w:rsidRPr="007E5E52" w:rsidRDefault="00C15F34" w:rsidP="00934776">
            <w:pPr>
              <w:spacing w:after="40"/>
            </w:pPr>
            <w:r>
              <w:t>ESS</w:t>
            </w:r>
          </w:p>
        </w:tc>
        <w:tc>
          <w:tcPr>
            <w:tcW w:w="7655" w:type="dxa"/>
          </w:tcPr>
          <w:p w14:paraId="337493CC" w14:textId="46200763" w:rsidR="00C15F34" w:rsidRPr="007E5E52" w:rsidRDefault="0014587B" w:rsidP="00934776">
            <w:pPr>
              <w:spacing w:after="40"/>
              <w:cnfStyle w:val="000000000000" w:firstRow="0" w:lastRow="0" w:firstColumn="0" w:lastColumn="0" w:oddVBand="0" w:evenVBand="0" w:oddHBand="0" w:evenHBand="0" w:firstRowFirstColumn="0" w:firstRowLastColumn="0" w:lastRowFirstColumn="0" w:lastRowLastColumn="0"/>
            </w:pPr>
            <w:r w:rsidRPr="007E5E52">
              <w:t>Environmental</w:t>
            </w:r>
            <w:r>
              <w:t xml:space="preserve"> and Social Safeguards</w:t>
            </w:r>
          </w:p>
        </w:tc>
      </w:tr>
      <w:tr w:rsidR="00B32745" w14:paraId="6757CA6D"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34170F9A" w14:textId="00384BB9" w:rsidR="00B32745" w:rsidRPr="00145DE4" w:rsidRDefault="00B32745" w:rsidP="00934776">
            <w:pPr>
              <w:spacing w:after="40"/>
              <w:rPr>
                <w:bCs w:val="0"/>
                <w:lang w:val="en-GB"/>
              </w:rPr>
            </w:pPr>
            <w:r w:rsidRPr="007E5E52">
              <w:t>GCF</w:t>
            </w:r>
          </w:p>
        </w:tc>
        <w:tc>
          <w:tcPr>
            <w:tcW w:w="7655" w:type="dxa"/>
          </w:tcPr>
          <w:p w14:paraId="73BE51DF" w14:textId="26FAA692"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Green Climate Fund</w:t>
            </w:r>
          </w:p>
        </w:tc>
      </w:tr>
      <w:tr w:rsidR="00B32745" w14:paraId="63643A34"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4B47D9C8" w14:textId="1F1E3CCF" w:rsidR="00B32745" w:rsidRPr="00145DE4" w:rsidRDefault="00B32745" w:rsidP="00934776">
            <w:pPr>
              <w:spacing w:after="40"/>
              <w:rPr>
                <w:lang w:val="en-GB"/>
              </w:rPr>
            </w:pPr>
            <w:r w:rsidRPr="007E5E52">
              <w:t>GDP</w:t>
            </w:r>
          </w:p>
        </w:tc>
        <w:tc>
          <w:tcPr>
            <w:tcW w:w="7655" w:type="dxa"/>
          </w:tcPr>
          <w:p w14:paraId="1E7AADA4" w14:textId="001C0796"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Gross Domestic Product</w:t>
            </w:r>
          </w:p>
        </w:tc>
      </w:tr>
      <w:tr w:rsidR="00B32745" w14:paraId="4761728C"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079F48D0" w14:textId="31B0FE4D" w:rsidR="00B32745" w:rsidRDefault="00B32745" w:rsidP="00934776">
            <w:pPr>
              <w:spacing w:after="40"/>
              <w:rPr>
                <w:lang w:val="en-GB"/>
              </w:rPr>
            </w:pPr>
            <w:r w:rsidRPr="007E5E52">
              <w:t>GHG</w:t>
            </w:r>
          </w:p>
        </w:tc>
        <w:tc>
          <w:tcPr>
            <w:tcW w:w="7655" w:type="dxa"/>
          </w:tcPr>
          <w:p w14:paraId="04B8FA28" w14:textId="40858146" w:rsidR="00B32745"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Greenhouse Gas</w:t>
            </w:r>
          </w:p>
        </w:tc>
      </w:tr>
      <w:tr w:rsidR="00B32745" w:rsidRPr="00CA1FF2" w14:paraId="419BF362"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7B56D0BE" w14:textId="603D9BBD" w:rsidR="00B32745" w:rsidRPr="00145DE4" w:rsidRDefault="00B32745" w:rsidP="00934776">
            <w:pPr>
              <w:spacing w:after="40"/>
              <w:rPr>
                <w:lang w:val="en-GB"/>
              </w:rPr>
            </w:pPr>
            <w:r w:rsidRPr="007E5E52">
              <w:t>GIZ</w:t>
            </w:r>
          </w:p>
        </w:tc>
        <w:tc>
          <w:tcPr>
            <w:tcW w:w="7655" w:type="dxa"/>
          </w:tcPr>
          <w:p w14:paraId="4C931510" w14:textId="48FFD16D" w:rsidR="00B32745" w:rsidRPr="00CA1FF2"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nl-NL"/>
              </w:rPr>
            </w:pPr>
            <w:r w:rsidRPr="00CA1FF2">
              <w:rPr>
                <w:lang w:val="nl-NL"/>
              </w:rPr>
              <w:t>Deutsche Gesellschaft für Internationale Zusammenarbeit</w:t>
            </w:r>
          </w:p>
        </w:tc>
      </w:tr>
      <w:tr w:rsidR="00B32745" w14:paraId="5ED14BE2"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363F306E" w14:textId="6877B3BC" w:rsidR="00B32745" w:rsidRPr="00902F28" w:rsidRDefault="00B32745" w:rsidP="00934776">
            <w:pPr>
              <w:spacing w:after="40"/>
              <w:rPr>
                <w:bCs w:val="0"/>
                <w:lang w:val="en-GB"/>
              </w:rPr>
            </w:pPr>
            <w:r w:rsidRPr="007E5E52">
              <w:t>IGE</w:t>
            </w:r>
          </w:p>
        </w:tc>
        <w:tc>
          <w:tcPr>
            <w:tcW w:w="7655" w:type="dxa"/>
          </w:tcPr>
          <w:p w14:paraId="3131CEA5" w14:textId="04FC66FD"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inclusive green economy</w:t>
            </w:r>
          </w:p>
        </w:tc>
      </w:tr>
      <w:tr w:rsidR="00B32745" w14:paraId="45777B7E"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36CF8B9A" w14:textId="5DA82B38" w:rsidR="00B32745" w:rsidRPr="00145DE4" w:rsidRDefault="00B32745" w:rsidP="00934776">
            <w:pPr>
              <w:spacing w:after="40"/>
              <w:rPr>
                <w:bCs w:val="0"/>
                <w:lang w:val="en-GB"/>
              </w:rPr>
            </w:pPr>
            <w:r w:rsidRPr="007E5E52">
              <w:t>IP</w:t>
            </w:r>
          </w:p>
        </w:tc>
        <w:tc>
          <w:tcPr>
            <w:tcW w:w="7655" w:type="dxa"/>
          </w:tcPr>
          <w:p w14:paraId="532B76C0" w14:textId="60045785"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Implementing partner</w:t>
            </w:r>
          </w:p>
        </w:tc>
      </w:tr>
      <w:tr w:rsidR="00B32745" w14:paraId="5A70EB21"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631F04D6" w14:textId="554BBBD2" w:rsidR="00B32745" w:rsidRPr="00145DE4" w:rsidRDefault="00B32745" w:rsidP="00934776">
            <w:pPr>
              <w:spacing w:after="40"/>
              <w:rPr>
                <w:lang w:val="en-GB"/>
              </w:rPr>
            </w:pPr>
            <w:r w:rsidRPr="007E5E52">
              <w:t>MNRETS</w:t>
            </w:r>
          </w:p>
        </w:tc>
        <w:tc>
          <w:tcPr>
            <w:tcW w:w="7655" w:type="dxa"/>
          </w:tcPr>
          <w:p w14:paraId="38095E3C" w14:textId="77EFFD39"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Ministry of Natural Resources, Ecology, and Technical Supervision</w:t>
            </w:r>
          </w:p>
        </w:tc>
      </w:tr>
      <w:tr w:rsidR="00B32745" w14:paraId="0781FAE1"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520B767B" w14:textId="3E2620E1" w:rsidR="00B32745" w:rsidRPr="00145DE4" w:rsidRDefault="00B32745" w:rsidP="00934776">
            <w:pPr>
              <w:spacing w:after="40"/>
              <w:rPr>
                <w:lang w:val="en-GB"/>
              </w:rPr>
            </w:pPr>
            <w:proofErr w:type="spellStart"/>
            <w:r w:rsidRPr="007E5E52">
              <w:t>MoEC</w:t>
            </w:r>
            <w:proofErr w:type="spellEnd"/>
          </w:p>
        </w:tc>
        <w:tc>
          <w:tcPr>
            <w:tcW w:w="7655" w:type="dxa"/>
          </w:tcPr>
          <w:p w14:paraId="1CCD3549" w14:textId="343182D0"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Ministry of Economy and Commerce</w:t>
            </w:r>
          </w:p>
        </w:tc>
      </w:tr>
      <w:tr w:rsidR="00B32745" w14:paraId="7FE66698"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387E060D" w14:textId="063BA06B" w:rsidR="00B32745" w:rsidRPr="00095155" w:rsidRDefault="00B32745" w:rsidP="00934776">
            <w:pPr>
              <w:spacing w:after="40"/>
              <w:rPr>
                <w:bCs w:val="0"/>
                <w:lang w:val="en-GB"/>
              </w:rPr>
            </w:pPr>
            <w:r w:rsidRPr="007E5E52">
              <w:t>MoF</w:t>
            </w:r>
          </w:p>
        </w:tc>
        <w:tc>
          <w:tcPr>
            <w:tcW w:w="7655" w:type="dxa"/>
          </w:tcPr>
          <w:p w14:paraId="55BAF218" w14:textId="7F975434"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Ministry of Finance</w:t>
            </w:r>
          </w:p>
        </w:tc>
      </w:tr>
      <w:tr w:rsidR="00B32745" w14:paraId="70F80621"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514F3BD3" w14:textId="19110EDA" w:rsidR="00B32745" w:rsidRPr="00145DE4" w:rsidRDefault="00B32745" w:rsidP="00934776">
            <w:pPr>
              <w:spacing w:after="40"/>
              <w:rPr>
                <w:lang w:val="en-GB"/>
              </w:rPr>
            </w:pPr>
            <w:r w:rsidRPr="007E5E52">
              <w:t>NAP</w:t>
            </w:r>
          </w:p>
        </w:tc>
        <w:tc>
          <w:tcPr>
            <w:tcW w:w="7655" w:type="dxa"/>
          </w:tcPr>
          <w:p w14:paraId="67B6F593" w14:textId="71241B90"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National Adaptation planning</w:t>
            </w:r>
          </w:p>
        </w:tc>
      </w:tr>
      <w:tr w:rsidR="00B32745" w14:paraId="353650D9"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3EA91829" w14:textId="3A77D622" w:rsidR="00B32745" w:rsidRPr="00145DE4" w:rsidRDefault="00B32745" w:rsidP="00934776">
            <w:pPr>
              <w:spacing w:after="40"/>
              <w:rPr>
                <w:rFonts w:ascii="Arial" w:hAnsi="Arial" w:cs="Arial"/>
                <w:lang w:val="en-GB"/>
              </w:rPr>
            </w:pPr>
            <w:r w:rsidRPr="007E5E52">
              <w:t>NBKR</w:t>
            </w:r>
          </w:p>
        </w:tc>
        <w:tc>
          <w:tcPr>
            <w:tcW w:w="7655" w:type="dxa"/>
          </w:tcPr>
          <w:p w14:paraId="7810BD2D" w14:textId="23C58E8E" w:rsidR="00B32745"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National Bank of the Kyrgyz Republic</w:t>
            </w:r>
          </w:p>
        </w:tc>
      </w:tr>
      <w:tr w:rsidR="00B32745" w14:paraId="2EC39550"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7B5AEB43" w14:textId="6678E381" w:rsidR="00B32745" w:rsidRPr="00E55DD5" w:rsidRDefault="00B32745" w:rsidP="00934776">
            <w:pPr>
              <w:spacing w:after="40"/>
              <w:rPr>
                <w:bCs w:val="0"/>
                <w:lang w:val="en-GB"/>
              </w:rPr>
            </w:pPr>
            <w:r w:rsidRPr="007E5E52">
              <w:t>NDA</w:t>
            </w:r>
          </w:p>
        </w:tc>
        <w:tc>
          <w:tcPr>
            <w:tcW w:w="7655" w:type="dxa"/>
          </w:tcPr>
          <w:p w14:paraId="6A007634" w14:textId="519D547D"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National Designated Authority</w:t>
            </w:r>
          </w:p>
        </w:tc>
      </w:tr>
      <w:tr w:rsidR="00B32745" w14:paraId="59E9051A"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0E1E77BA" w14:textId="0DE4F62A" w:rsidR="00B32745" w:rsidRPr="00E55DD5" w:rsidRDefault="00B32745" w:rsidP="00934776">
            <w:pPr>
              <w:spacing w:after="40"/>
              <w:rPr>
                <w:lang w:val="en-GB"/>
              </w:rPr>
            </w:pPr>
            <w:r w:rsidRPr="007E5E52">
              <w:t>NDC</w:t>
            </w:r>
          </w:p>
        </w:tc>
        <w:tc>
          <w:tcPr>
            <w:tcW w:w="7655" w:type="dxa"/>
          </w:tcPr>
          <w:p w14:paraId="41E3C428" w14:textId="42458604"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Nationally Determined Contribution</w:t>
            </w:r>
          </w:p>
        </w:tc>
      </w:tr>
      <w:tr w:rsidR="00B32745" w14:paraId="358820ED"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342F938A" w14:textId="454903A4" w:rsidR="00B32745" w:rsidRPr="00133480" w:rsidRDefault="00B32745" w:rsidP="00934776">
            <w:pPr>
              <w:spacing w:after="40"/>
              <w:rPr>
                <w:bCs w:val="0"/>
                <w:lang w:val="en-GB"/>
              </w:rPr>
            </w:pPr>
            <w:r w:rsidRPr="007E5E52">
              <w:t>NRM</w:t>
            </w:r>
          </w:p>
        </w:tc>
        <w:tc>
          <w:tcPr>
            <w:tcW w:w="7655" w:type="dxa"/>
          </w:tcPr>
          <w:p w14:paraId="203BE9E1" w14:textId="1114956E"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Natural resource management</w:t>
            </w:r>
          </w:p>
        </w:tc>
      </w:tr>
      <w:tr w:rsidR="00B32745" w14:paraId="1D58EF7A"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7D1D96D4" w14:textId="137F0076" w:rsidR="00B32745" w:rsidRPr="00133480" w:rsidRDefault="00B32745" w:rsidP="00934776">
            <w:pPr>
              <w:spacing w:after="40"/>
              <w:rPr>
                <w:bCs w:val="0"/>
                <w:lang w:val="en-GB"/>
              </w:rPr>
            </w:pPr>
            <w:r w:rsidRPr="007E5E52">
              <w:t>NSC</w:t>
            </w:r>
          </w:p>
        </w:tc>
        <w:tc>
          <w:tcPr>
            <w:tcW w:w="7655" w:type="dxa"/>
          </w:tcPr>
          <w:p w14:paraId="733041CB" w14:textId="0A74CF7D" w:rsidR="00B32745" w:rsidRPr="00BB49FA"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 xml:space="preserve">National Statistical Committee </w:t>
            </w:r>
          </w:p>
        </w:tc>
      </w:tr>
      <w:tr w:rsidR="00B32745" w14:paraId="71C63F24"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36CFFA70" w14:textId="02D65A62" w:rsidR="00B32745" w:rsidRPr="00145DE4" w:rsidRDefault="00B32745" w:rsidP="00934776">
            <w:pPr>
              <w:spacing w:after="40"/>
              <w:rPr>
                <w:lang w:val="en-GB"/>
              </w:rPr>
            </w:pPr>
            <w:r w:rsidRPr="007E5E52">
              <w:t>PB</w:t>
            </w:r>
          </w:p>
        </w:tc>
        <w:tc>
          <w:tcPr>
            <w:tcW w:w="7655" w:type="dxa"/>
          </w:tcPr>
          <w:p w14:paraId="63C759A0" w14:textId="257931AF"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Project Board</w:t>
            </w:r>
          </w:p>
        </w:tc>
      </w:tr>
      <w:tr w:rsidR="00934776" w14:paraId="7D746D15"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1B4C60D2" w14:textId="30ED1AFB" w:rsidR="00934776" w:rsidRPr="007E5E52" w:rsidRDefault="00934776" w:rsidP="00934776">
            <w:pPr>
              <w:spacing w:after="40"/>
            </w:pPr>
            <w:r>
              <w:t>PMU</w:t>
            </w:r>
          </w:p>
        </w:tc>
        <w:tc>
          <w:tcPr>
            <w:tcW w:w="7655" w:type="dxa"/>
          </w:tcPr>
          <w:p w14:paraId="5C2B1FEB" w14:textId="55614CB1" w:rsidR="00934776" w:rsidRPr="007E5E52" w:rsidRDefault="00934776" w:rsidP="00934776">
            <w:pPr>
              <w:spacing w:after="40"/>
              <w:cnfStyle w:val="000000100000" w:firstRow="0" w:lastRow="0" w:firstColumn="0" w:lastColumn="0" w:oddVBand="0" w:evenVBand="0" w:oddHBand="1" w:evenHBand="0" w:firstRowFirstColumn="0" w:firstRowLastColumn="0" w:lastRowFirstColumn="0" w:lastRowLastColumn="0"/>
            </w:pPr>
            <w:r>
              <w:t>Pro</w:t>
            </w:r>
            <w:r w:rsidRPr="00934776">
              <w:t>ject Management Unit</w:t>
            </w:r>
          </w:p>
        </w:tc>
      </w:tr>
      <w:tr w:rsidR="00B32745" w14:paraId="27150664"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682EAEA6" w14:textId="35DD3D91" w:rsidR="00B32745" w:rsidRPr="00145DE4" w:rsidRDefault="00B32745" w:rsidP="00934776">
            <w:pPr>
              <w:spacing w:after="40"/>
              <w:rPr>
                <w:lang w:val="en-GB"/>
              </w:rPr>
            </w:pPr>
            <w:r w:rsidRPr="007E5E52">
              <w:t>PPP</w:t>
            </w:r>
          </w:p>
        </w:tc>
        <w:tc>
          <w:tcPr>
            <w:tcW w:w="7655" w:type="dxa"/>
          </w:tcPr>
          <w:p w14:paraId="61EEF40A" w14:textId="38BD2CC9" w:rsidR="00B32745" w:rsidRPr="00BB49FA"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Purchasing power parity</w:t>
            </w:r>
          </w:p>
        </w:tc>
      </w:tr>
      <w:tr w:rsidR="009A01A0" w14:paraId="607F9EE3"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59C30CA0" w14:textId="1CEE86E2" w:rsidR="009A01A0" w:rsidRPr="007E5E52" w:rsidRDefault="009A01A0" w:rsidP="00934776">
            <w:pPr>
              <w:spacing w:after="40"/>
            </w:pPr>
            <w:r>
              <w:t>PSD</w:t>
            </w:r>
          </w:p>
        </w:tc>
        <w:tc>
          <w:tcPr>
            <w:tcW w:w="7655" w:type="dxa"/>
          </w:tcPr>
          <w:p w14:paraId="2AC84805" w14:textId="6CD0CCE3" w:rsidR="009A01A0" w:rsidRPr="007E5E52" w:rsidRDefault="009A01A0" w:rsidP="00934776">
            <w:pPr>
              <w:spacing w:after="40"/>
              <w:cnfStyle w:val="000000100000" w:firstRow="0" w:lastRow="0" w:firstColumn="0" w:lastColumn="0" w:oddVBand="0" w:evenVBand="0" w:oddHBand="1" w:evenHBand="0" w:firstRowFirstColumn="0" w:firstRowLastColumn="0" w:lastRowFirstColumn="0" w:lastRowLastColumn="0"/>
            </w:pPr>
            <w:r w:rsidRPr="009A01A0">
              <w:t>Private Sector Development</w:t>
            </w:r>
          </w:p>
        </w:tc>
      </w:tr>
      <w:tr w:rsidR="00CE5376" w14:paraId="2D423D28"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24726382" w14:textId="025F7834" w:rsidR="00CE5376" w:rsidRPr="007E5E52" w:rsidRDefault="00CE5376" w:rsidP="00934776">
            <w:pPr>
              <w:spacing w:after="40"/>
            </w:pPr>
            <w:r>
              <w:t>PSF</w:t>
            </w:r>
          </w:p>
        </w:tc>
        <w:tc>
          <w:tcPr>
            <w:tcW w:w="7655" w:type="dxa"/>
          </w:tcPr>
          <w:p w14:paraId="5360379C" w14:textId="107B74A6" w:rsidR="00CE5376" w:rsidRPr="007E5E52" w:rsidRDefault="00CE5376" w:rsidP="00934776">
            <w:pPr>
              <w:spacing w:after="40"/>
              <w:cnfStyle w:val="000000000000" w:firstRow="0" w:lastRow="0" w:firstColumn="0" w:lastColumn="0" w:oddVBand="0" w:evenVBand="0" w:oddHBand="0" w:evenHBand="0" w:firstRowFirstColumn="0" w:firstRowLastColumn="0" w:lastRowFirstColumn="0" w:lastRowLastColumn="0"/>
            </w:pPr>
            <w:r w:rsidRPr="00CE5376">
              <w:t>Green Climate Fund</w:t>
            </w:r>
            <w:r>
              <w:t xml:space="preserve"> </w:t>
            </w:r>
            <w:r w:rsidRPr="00CE5376">
              <w:t>Private Sector Facility</w:t>
            </w:r>
          </w:p>
        </w:tc>
      </w:tr>
      <w:tr w:rsidR="00B32745" w14:paraId="1620E118"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3576F3A3" w14:textId="64A8ED13" w:rsidR="00B32745" w:rsidRPr="00396F37" w:rsidRDefault="00B32745" w:rsidP="00934776">
            <w:pPr>
              <w:spacing w:after="40"/>
              <w:rPr>
                <w:rFonts w:ascii="Arial" w:hAnsi="Arial" w:cs="Arial"/>
              </w:rPr>
            </w:pPr>
            <w:r w:rsidRPr="007E5E52">
              <w:t>RCP</w:t>
            </w:r>
          </w:p>
        </w:tc>
        <w:tc>
          <w:tcPr>
            <w:tcW w:w="7655" w:type="dxa"/>
          </w:tcPr>
          <w:p w14:paraId="2F6D7B53" w14:textId="5A1A24B5" w:rsidR="00B32745" w:rsidRPr="00396F37"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Representative Concentration Pathway</w:t>
            </w:r>
          </w:p>
        </w:tc>
      </w:tr>
      <w:tr w:rsidR="00B32745" w14:paraId="13F3A100"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0C9A97E2" w14:textId="5040404D" w:rsidR="00B32745" w:rsidRPr="00396F37" w:rsidRDefault="00B32745" w:rsidP="00934776">
            <w:pPr>
              <w:spacing w:after="40"/>
              <w:rPr>
                <w:rFonts w:ascii="Arial" w:hAnsi="Arial" w:cs="Arial"/>
              </w:rPr>
            </w:pPr>
            <w:r w:rsidRPr="007E5E52">
              <w:t>SDB</w:t>
            </w:r>
          </w:p>
        </w:tc>
        <w:tc>
          <w:tcPr>
            <w:tcW w:w="7655" w:type="dxa"/>
          </w:tcPr>
          <w:p w14:paraId="21C1695C" w14:textId="4599DB25" w:rsidR="00B32745" w:rsidRPr="00396F37"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State Development Bank</w:t>
            </w:r>
          </w:p>
        </w:tc>
      </w:tr>
      <w:tr w:rsidR="00B32745" w14:paraId="4C569C0E"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216952A9" w14:textId="4E1AB600" w:rsidR="00B32745" w:rsidRPr="00396F37" w:rsidRDefault="00B32745" w:rsidP="00934776">
            <w:pPr>
              <w:spacing w:after="40"/>
              <w:rPr>
                <w:rFonts w:ascii="Arial" w:hAnsi="Arial" w:cs="Arial"/>
              </w:rPr>
            </w:pPr>
            <w:r w:rsidRPr="007E5E52">
              <w:t>SDG</w:t>
            </w:r>
          </w:p>
        </w:tc>
        <w:tc>
          <w:tcPr>
            <w:tcW w:w="7655" w:type="dxa"/>
          </w:tcPr>
          <w:p w14:paraId="6094ED0B" w14:textId="2B62106B" w:rsidR="00B32745" w:rsidRPr="00396F37"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Sustainable Development Goals</w:t>
            </w:r>
          </w:p>
        </w:tc>
      </w:tr>
      <w:tr w:rsidR="00B32745" w14:paraId="0268B7F9"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0978E081" w14:textId="2206D88D" w:rsidR="00B32745" w:rsidRPr="00396F37" w:rsidRDefault="00B32745" w:rsidP="00934776">
            <w:pPr>
              <w:spacing w:after="40"/>
              <w:rPr>
                <w:rFonts w:ascii="Arial" w:hAnsi="Arial" w:cs="Arial"/>
              </w:rPr>
            </w:pPr>
            <w:r w:rsidRPr="007E5E52">
              <w:t>ToC</w:t>
            </w:r>
          </w:p>
        </w:tc>
        <w:tc>
          <w:tcPr>
            <w:tcW w:w="7655" w:type="dxa"/>
          </w:tcPr>
          <w:p w14:paraId="7D495C59" w14:textId="6DEB8535" w:rsidR="00B32745" w:rsidRPr="00396F37"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Theory of Change</w:t>
            </w:r>
          </w:p>
        </w:tc>
      </w:tr>
      <w:tr w:rsidR="005C5A89" w14:paraId="2265D316"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2460CBAA" w14:textId="12D11C91" w:rsidR="005C5A89" w:rsidRPr="007E5E52" w:rsidRDefault="005C5A89" w:rsidP="00934776">
            <w:pPr>
              <w:spacing w:after="40"/>
            </w:pPr>
            <w:r>
              <w:t>ToR</w:t>
            </w:r>
          </w:p>
        </w:tc>
        <w:tc>
          <w:tcPr>
            <w:tcW w:w="7655" w:type="dxa"/>
          </w:tcPr>
          <w:p w14:paraId="30720CE7" w14:textId="3F82D591" w:rsidR="005C5A89" w:rsidRPr="007E5E52" w:rsidRDefault="005C5A89" w:rsidP="00934776">
            <w:pPr>
              <w:spacing w:after="40"/>
              <w:cnfStyle w:val="000000100000" w:firstRow="0" w:lastRow="0" w:firstColumn="0" w:lastColumn="0" w:oddVBand="0" w:evenVBand="0" w:oddHBand="1" w:evenHBand="0" w:firstRowFirstColumn="0" w:firstRowLastColumn="0" w:lastRowFirstColumn="0" w:lastRowLastColumn="0"/>
            </w:pPr>
            <w:r w:rsidRPr="005C5A89">
              <w:t>Terms of Reference</w:t>
            </w:r>
          </w:p>
        </w:tc>
      </w:tr>
      <w:tr w:rsidR="00785732" w14:paraId="009723FA"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4895840D" w14:textId="70958127" w:rsidR="00785732" w:rsidRPr="007E5E52" w:rsidRDefault="00785732" w:rsidP="00934776">
            <w:pPr>
              <w:spacing w:after="40"/>
            </w:pPr>
            <w:proofErr w:type="spellStart"/>
            <w:r>
              <w:t>ToT</w:t>
            </w:r>
            <w:proofErr w:type="spellEnd"/>
          </w:p>
        </w:tc>
        <w:tc>
          <w:tcPr>
            <w:tcW w:w="7655" w:type="dxa"/>
          </w:tcPr>
          <w:p w14:paraId="2AF7D445" w14:textId="0FD0529A" w:rsidR="00785732" w:rsidRPr="007E5E52" w:rsidRDefault="00785732" w:rsidP="00934776">
            <w:pPr>
              <w:spacing w:after="40"/>
              <w:cnfStyle w:val="000000000000" w:firstRow="0" w:lastRow="0" w:firstColumn="0" w:lastColumn="0" w:oddVBand="0" w:evenVBand="0" w:oddHBand="0" w:evenHBand="0" w:firstRowFirstColumn="0" w:firstRowLastColumn="0" w:lastRowFirstColumn="0" w:lastRowLastColumn="0"/>
            </w:pPr>
            <w:r w:rsidRPr="00785732">
              <w:t>Training of Trainers</w:t>
            </w:r>
          </w:p>
        </w:tc>
      </w:tr>
      <w:tr w:rsidR="00B32745" w14:paraId="66EA09F2"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08A3CE77" w14:textId="752F702F" w:rsidR="00B32745" w:rsidRPr="00396F37" w:rsidRDefault="00B32745" w:rsidP="00934776">
            <w:pPr>
              <w:spacing w:after="40"/>
              <w:rPr>
                <w:rFonts w:ascii="Arial" w:hAnsi="Arial" w:cs="Arial"/>
              </w:rPr>
            </w:pPr>
            <w:r w:rsidRPr="007E5E52">
              <w:t>UNDP</w:t>
            </w:r>
          </w:p>
        </w:tc>
        <w:tc>
          <w:tcPr>
            <w:tcW w:w="7655" w:type="dxa"/>
          </w:tcPr>
          <w:p w14:paraId="0F345D40" w14:textId="7F588DEC" w:rsidR="00B32745" w:rsidRPr="00396F37"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United Nations Development Programme</w:t>
            </w:r>
          </w:p>
        </w:tc>
      </w:tr>
      <w:tr w:rsidR="00B32745" w14:paraId="03318CD0"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440E9BD6" w14:textId="36928525" w:rsidR="00B32745" w:rsidRPr="00396F37" w:rsidRDefault="00B32745" w:rsidP="00934776">
            <w:pPr>
              <w:spacing w:after="40"/>
              <w:rPr>
                <w:rFonts w:ascii="Arial" w:hAnsi="Arial" w:cs="Arial"/>
              </w:rPr>
            </w:pPr>
            <w:r w:rsidRPr="007E5E52">
              <w:t>UNFCC</w:t>
            </w:r>
          </w:p>
        </w:tc>
        <w:tc>
          <w:tcPr>
            <w:tcW w:w="7655" w:type="dxa"/>
          </w:tcPr>
          <w:p w14:paraId="7F7D40F2" w14:textId="687099D3" w:rsidR="00B32745" w:rsidRPr="00396F37"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United Nations Framework Convention on Climate Change</w:t>
            </w:r>
          </w:p>
        </w:tc>
      </w:tr>
      <w:tr w:rsidR="00B32745" w14:paraId="6927A58E"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423F921F" w14:textId="6114B729" w:rsidR="00B32745" w:rsidRPr="00396F37" w:rsidRDefault="00B32745" w:rsidP="00934776">
            <w:pPr>
              <w:spacing w:after="40"/>
              <w:rPr>
                <w:rFonts w:ascii="Arial" w:hAnsi="Arial" w:cs="Arial"/>
              </w:rPr>
            </w:pPr>
            <w:r w:rsidRPr="007E5E52">
              <w:t>USD</w:t>
            </w:r>
          </w:p>
        </w:tc>
        <w:tc>
          <w:tcPr>
            <w:tcW w:w="7655" w:type="dxa"/>
          </w:tcPr>
          <w:p w14:paraId="1BD583A2" w14:textId="5455029A" w:rsidR="00B32745" w:rsidRPr="00396F37" w:rsidRDefault="00B32745" w:rsidP="00934776">
            <w:pPr>
              <w:spacing w:after="40"/>
              <w:cnfStyle w:val="000000100000" w:firstRow="0" w:lastRow="0" w:firstColumn="0" w:lastColumn="0" w:oddVBand="0" w:evenVBand="0" w:oddHBand="1" w:evenHBand="0" w:firstRowFirstColumn="0" w:firstRowLastColumn="0" w:lastRowFirstColumn="0" w:lastRowLastColumn="0"/>
              <w:rPr>
                <w:bCs/>
                <w:lang w:val="en-GB"/>
              </w:rPr>
            </w:pPr>
            <w:r w:rsidRPr="007E5E52">
              <w:t>United States Dollar</w:t>
            </w:r>
          </w:p>
        </w:tc>
      </w:tr>
      <w:tr w:rsidR="00B32745" w14:paraId="2D8C3450" w14:textId="77777777" w:rsidTr="0065694E">
        <w:tc>
          <w:tcPr>
            <w:cnfStyle w:val="001000000000" w:firstRow="0" w:lastRow="0" w:firstColumn="1" w:lastColumn="0" w:oddVBand="0" w:evenVBand="0" w:oddHBand="0" w:evenHBand="0" w:firstRowFirstColumn="0" w:firstRowLastColumn="0" w:lastRowFirstColumn="0" w:lastRowLastColumn="0"/>
            <w:tcW w:w="2269" w:type="dxa"/>
          </w:tcPr>
          <w:p w14:paraId="6150A7EB" w14:textId="428AA81B" w:rsidR="00B32745" w:rsidRPr="00396F37" w:rsidRDefault="00B32745" w:rsidP="00934776">
            <w:pPr>
              <w:spacing w:after="40"/>
              <w:rPr>
                <w:rFonts w:ascii="Arial" w:hAnsi="Arial" w:cs="Arial"/>
              </w:rPr>
            </w:pPr>
            <w:r w:rsidRPr="007E5E52">
              <w:t>VAT</w:t>
            </w:r>
          </w:p>
        </w:tc>
        <w:tc>
          <w:tcPr>
            <w:tcW w:w="7655" w:type="dxa"/>
          </w:tcPr>
          <w:p w14:paraId="6E46CF50" w14:textId="68E7770F" w:rsidR="00B32745" w:rsidRPr="00396F37" w:rsidRDefault="00B32745" w:rsidP="00934776">
            <w:pPr>
              <w:spacing w:after="40"/>
              <w:cnfStyle w:val="000000000000" w:firstRow="0" w:lastRow="0" w:firstColumn="0" w:lastColumn="0" w:oddVBand="0" w:evenVBand="0" w:oddHBand="0" w:evenHBand="0" w:firstRowFirstColumn="0" w:firstRowLastColumn="0" w:lastRowFirstColumn="0" w:lastRowLastColumn="0"/>
              <w:rPr>
                <w:bCs/>
                <w:lang w:val="en-GB"/>
              </w:rPr>
            </w:pPr>
            <w:r w:rsidRPr="007E5E52">
              <w:t>Value added tax</w:t>
            </w:r>
          </w:p>
        </w:tc>
      </w:tr>
      <w:tr w:rsidR="009A01A0" w14:paraId="7C651061" w14:textId="77777777" w:rsidTr="00656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14:paraId="0ED9F0F7" w14:textId="42C933EF" w:rsidR="009A01A0" w:rsidRPr="007E5E52" w:rsidRDefault="009A01A0" w:rsidP="00934776">
            <w:pPr>
              <w:spacing w:after="40"/>
            </w:pPr>
            <w:r>
              <w:t>WG</w:t>
            </w:r>
          </w:p>
        </w:tc>
        <w:tc>
          <w:tcPr>
            <w:tcW w:w="7655" w:type="dxa"/>
          </w:tcPr>
          <w:p w14:paraId="59FDE5C8" w14:textId="6A85E86A" w:rsidR="009A01A0" w:rsidRPr="007E5E52" w:rsidRDefault="009A01A0" w:rsidP="00934776">
            <w:pPr>
              <w:spacing w:after="40"/>
              <w:cnfStyle w:val="000000100000" w:firstRow="0" w:lastRow="0" w:firstColumn="0" w:lastColumn="0" w:oddVBand="0" w:evenVBand="0" w:oddHBand="1" w:evenHBand="0" w:firstRowFirstColumn="0" w:firstRowLastColumn="0" w:lastRowFirstColumn="0" w:lastRowLastColumn="0"/>
            </w:pPr>
            <w:r>
              <w:t>Working group</w:t>
            </w:r>
          </w:p>
        </w:tc>
      </w:tr>
    </w:tbl>
    <w:p w14:paraId="6C571913" w14:textId="77777777" w:rsidR="001345F2" w:rsidRDefault="001345F2" w:rsidP="001345F2">
      <w:bookmarkStart w:id="1" w:name="_Toc118216342"/>
      <w:bookmarkStart w:id="2" w:name="_Toc119587225"/>
      <w:r>
        <w:br w:type="page"/>
      </w:r>
    </w:p>
    <w:p w14:paraId="744D9E9A" w14:textId="55047D85" w:rsidR="00F97840" w:rsidRPr="000E5A3D" w:rsidRDefault="00F97840" w:rsidP="00E0144C">
      <w:pPr>
        <w:pStyle w:val="Heading3"/>
        <w:rPr>
          <w:rStyle w:val="normaltextrun"/>
          <w:rFonts w:ascii="Arial" w:hAnsi="Arial" w:cs="Arial"/>
          <w:b w:val="0"/>
          <w:bCs w:val="0"/>
          <w:color w:val="276E8B"/>
          <w:shd w:val="clear" w:color="auto" w:fill="FFFFFF"/>
          <w:lang w:val="ru-RU"/>
        </w:rPr>
      </w:pPr>
      <w:r w:rsidRPr="00F97840">
        <w:lastRenderedPageBreak/>
        <w:t>Section 2. Situation analysis</w:t>
      </w:r>
      <w:bookmarkEnd w:id="1"/>
      <w:bookmarkEnd w:id="2"/>
    </w:p>
    <w:p w14:paraId="5852F13B" w14:textId="316043F1" w:rsidR="00ED066C" w:rsidRPr="00135714" w:rsidRDefault="00891D2E" w:rsidP="00163FD5">
      <w:pPr>
        <w:pStyle w:val="ListParagraph"/>
        <w:numPr>
          <w:ilvl w:val="1"/>
          <w:numId w:val="3"/>
        </w:numPr>
        <w:tabs>
          <w:tab w:val="left" w:pos="720"/>
          <w:tab w:val="left" w:pos="7200"/>
        </w:tabs>
        <w:rPr>
          <w:b/>
          <w:color w:val="276E8B" w:themeColor="accent1" w:themeShade="BF"/>
        </w:rPr>
      </w:pPr>
      <w:r>
        <w:rPr>
          <w:rStyle w:val="normaltextrun"/>
          <w:rFonts w:ascii="Arial" w:hAnsi="Arial" w:cs="Arial"/>
          <w:b/>
          <w:bCs/>
          <w:color w:val="276E8B"/>
          <w:shd w:val="clear" w:color="auto" w:fill="FFFFFF"/>
        </w:rPr>
        <w:t>Country’s background and context</w:t>
      </w:r>
    </w:p>
    <w:p w14:paraId="4114486F" w14:textId="48D919DF" w:rsidR="008A6BE0" w:rsidRPr="008A6BE0" w:rsidRDefault="00A13BF3">
      <w:pPr>
        <w:pStyle w:val="ListParagraph"/>
        <w:numPr>
          <w:ilvl w:val="0"/>
          <w:numId w:val="29"/>
        </w:numPr>
        <w:spacing w:line="240" w:lineRule="auto"/>
        <w:jc w:val="both"/>
        <w:rPr>
          <w:rFonts w:ascii="Arial" w:hAnsi="Arial" w:cs="Arial"/>
          <w:sz w:val="20"/>
          <w:szCs w:val="20"/>
        </w:rPr>
      </w:pPr>
      <w:r w:rsidRPr="008A6BE0">
        <w:rPr>
          <w:rStyle w:val="DefaultText"/>
          <w:color w:val="auto"/>
        </w:rPr>
        <w:t xml:space="preserve">Kyrgyzstan </w:t>
      </w:r>
      <w:r w:rsidR="00735179" w:rsidRPr="008A6BE0">
        <w:rPr>
          <w:rStyle w:val="DefaultText"/>
          <w:color w:val="auto"/>
        </w:rPr>
        <w:t>is a land-locked,</w:t>
      </w:r>
      <w:r w:rsidRPr="008A6BE0">
        <w:rPr>
          <w:rStyle w:val="DefaultText"/>
          <w:color w:val="auto"/>
        </w:rPr>
        <w:t xml:space="preserve"> mountainous,</w:t>
      </w:r>
      <w:r w:rsidR="00735179" w:rsidRPr="008A6BE0">
        <w:rPr>
          <w:rStyle w:val="DefaultText"/>
          <w:color w:val="auto"/>
        </w:rPr>
        <w:t xml:space="preserve"> lower-middle-income country in Central Asia</w:t>
      </w:r>
      <w:r w:rsidR="00ED066C" w:rsidRPr="008A6BE0">
        <w:rPr>
          <w:rStyle w:val="DefaultText"/>
          <w:color w:val="auto"/>
        </w:rPr>
        <w:t xml:space="preserve"> </w:t>
      </w:r>
      <w:r w:rsidR="00ED066C" w:rsidRPr="008A6BE0">
        <w:rPr>
          <w:rStyle w:val="DefaultText"/>
          <w:color w:val="auto"/>
          <w:lang w:val="en-GB"/>
        </w:rPr>
        <w:t>that covers an area of 199,900 km² and is home to 7.2 million</w:t>
      </w:r>
      <w:r w:rsidR="00822A01" w:rsidRPr="008A6BE0">
        <w:rPr>
          <w:rStyle w:val="DefaultText"/>
          <w:color w:val="auto"/>
          <w:lang w:val="en-GB"/>
        </w:rPr>
        <w:t xml:space="preserve"> people</w:t>
      </w:r>
      <w:r w:rsidR="00AD0EF4">
        <w:rPr>
          <w:rStyle w:val="FootnoteReference"/>
          <w:rFonts w:cstheme="minorHAnsi"/>
          <w:sz w:val="20"/>
          <w:szCs w:val="20"/>
          <w:lang w:val="en-GB"/>
        </w:rPr>
        <w:footnoteReference w:id="5"/>
      </w:r>
      <w:r w:rsidR="00ED066C" w:rsidRPr="008A6BE0">
        <w:rPr>
          <w:rStyle w:val="DefaultText"/>
          <w:color w:val="auto"/>
          <w:lang w:val="en-GB"/>
        </w:rPr>
        <w:t>.</w:t>
      </w:r>
      <w:r w:rsidR="00ED066C" w:rsidRPr="008A6BE0">
        <w:rPr>
          <w:rStyle w:val="DefaultText"/>
          <w:color w:val="auto"/>
        </w:rPr>
        <w:t xml:space="preserve"> </w:t>
      </w:r>
      <w:r w:rsidRPr="008A6BE0">
        <w:rPr>
          <w:rStyle w:val="DefaultText"/>
          <w:color w:val="auto"/>
        </w:rPr>
        <w:t>The economy has a diverse socio-economic landscape shaped by a combination of agriculture, hydropower, tourism, mining, light industry, and banking</w:t>
      </w:r>
      <w:r w:rsidR="00AD0EF4" w:rsidRPr="008A6BE0">
        <w:rPr>
          <w:rStyle w:val="DefaultText"/>
          <w:color w:val="auto"/>
        </w:rPr>
        <w:t xml:space="preserve"> services</w:t>
      </w:r>
      <w:r>
        <w:rPr>
          <w:rStyle w:val="FootnoteReference"/>
          <w:rFonts w:ascii="Arial" w:hAnsi="Arial" w:cs="Arial"/>
          <w:sz w:val="20"/>
          <w:szCs w:val="20"/>
          <w:lang w:val="en-GB"/>
        </w:rPr>
        <w:footnoteReference w:id="6"/>
      </w:r>
      <w:r w:rsidRPr="008A6BE0">
        <w:rPr>
          <w:rFonts w:ascii="Arial" w:hAnsi="Arial" w:cs="Arial"/>
          <w:sz w:val="20"/>
          <w:szCs w:val="20"/>
          <w:lang w:val="en-GB"/>
        </w:rPr>
        <w:t>.</w:t>
      </w:r>
      <w:r w:rsidR="007658B8" w:rsidRPr="008A6BE0">
        <w:rPr>
          <w:rFonts w:ascii="Arial" w:hAnsi="Arial" w:cs="Arial"/>
          <w:sz w:val="20"/>
          <w:szCs w:val="20"/>
          <w:lang w:val="en-GB"/>
        </w:rPr>
        <w:t xml:space="preserve"> The country </w:t>
      </w:r>
      <w:r w:rsidR="00C718F2" w:rsidRPr="008A6BE0">
        <w:rPr>
          <w:rFonts w:ascii="Arial" w:hAnsi="Arial" w:cs="Arial"/>
          <w:sz w:val="20"/>
          <w:szCs w:val="20"/>
          <w:lang w:val="en-GB"/>
        </w:rPr>
        <w:t>saw</w:t>
      </w:r>
      <w:r w:rsidR="007658B8" w:rsidRPr="008A6BE0">
        <w:rPr>
          <w:rFonts w:ascii="Arial" w:hAnsi="Arial" w:cs="Arial"/>
          <w:sz w:val="20"/>
          <w:szCs w:val="20"/>
          <w:lang w:val="en-GB"/>
        </w:rPr>
        <w:t xml:space="preserve"> gradual </w:t>
      </w:r>
      <w:r w:rsidR="000716B7" w:rsidRPr="008A6BE0">
        <w:rPr>
          <w:rFonts w:ascii="Arial" w:hAnsi="Arial" w:cs="Arial"/>
          <w:sz w:val="20"/>
          <w:szCs w:val="20"/>
          <w:lang w:val="en-GB"/>
        </w:rPr>
        <w:t xml:space="preserve">socio-economic </w:t>
      </w:r>
      <w:r w:rsidR="007658B8" w:rsidRPr="008A6BE0">
        <w:rPr>
          <w:rFonts w:ascii="Arial" w:hAnsi="Arial" w:cs="Arial"/>
          <w:sz w:val="20"/>
          <w:szCs w:val="20"/>
          <w:lang w:val="en-GB"/>
        </w:rPr>
        <w:t>growth</w:t>
      </w:r>
      <w:r w:rsidR="000716B7" w:rsidRPr="008A6BE0">
        <w:rPr>
          <w:rFonts w:ascii="Arial" w:hAnsi="Arial" w:cs="Arial"/>
          <w:sz w:val="20"/>
          <w:szCs w:val="20"/>
        </w:rPr>
        <w:t xml:space="preserve"> and recently entered the list of high human development countries</w:t>
      </w:r>
      <w:r w:rsidR="00F17EBF">
        <w:rPr>
          <w:rStyle w:val="FootnoteReference"/>
          <w:rFonts w:ascii="Arial" w:hAnsi="Arial" w:cs="Arial"/>
          <w:sz w:val="20"/>
          <w:szCs w:val="20"/>
        </w:rPr>
        <w:footnoteReference w:id="7"/>
      </w:r>
      <w:r w:rsidR="007658B8" w:rsidRPr="008A6BE0">
        <w:rPr>
          <w:rFonts w:ascii="Arial" w:hAnsi="Arial" w:cs="Arial"/>
          <w:sz w:val="20"/>
          <w:szCs w:val="20"/>
          <w:lang w:val="en-GB"/>
        </w:rPr>
        <w:t xml:space="preserve">, though it faces significant challenges related to poverty, </w:t>
      </w:r>
      <w:r w:rsidR="00C718F2" w:rsidRPr="008A6BE0">
        <w:rPr>
          <w:rFonts w:ascii="Arial" w:hAnsi="Arial" w:cs="Arial"/>
          <w:sz w:val="20"/>
          <w:szCs w:val="20"/>
          <w:lang w:val="en-GB"/>
        </w:rPr>
        <w:t xml:space="preserve">socio-economic </w:t>
      </w:r>
      <w:r w:rsidR="00341C78" w:rsidRPr="008A6BE0">
        <w:rPr>
          <w:rFonts w:ascii="Arial" w:hAnsi="Arial" w:cs="Arial"/>
          <w:sz w:val="20"/>
          <w:szCs w:val="20"/>
          <w:lang w:val="en-GB"/>
        </w:rPr>
        <w:t>inequalities,</w:t>
      </w:r>
      <w:r w:rsidR="00C718F2" w:rsidRPr="008A6BE0">
        <w:rPr>
          <w:rFonts w:ascii="Arial" w:hAnsi="Arial" w:cs="Arial"/>
          <w:sz w:val="20"/>
          <w:szCs w:val="20"/>
          <w:lang w:val="en-GB"/>
        </w:rPr>
        <w:t xml:space="preserve"> and </w:t>
      </w:r>
      <w:r w:rsidR="007658B8" w:rsidRPr="008A6BE0">
        <w:rPr>
          <w:rFonts w:ascii="Arial" w:hAnsi="Arial" w:cs="Arial"/>
          <w:sz w:val="20"/>
          <w:szCs w:val="20"/>
          <w:lang w:val="en-GB"/>
        </w:rPr>
        <w:t>environmental sustainability.</w:t>
      </w:r>
    </w:p>
    <w:p w14:paraId="213CBA4D" w14:textId="77777777" w:rsidR="008A6BE0" w:rsidRPr="008A6BE0" w:rsidRDefault="008A6BE0" w:rsidP="008A6BE0">
      <w:pPr>
        <w:pStyle w:val="ListParagraph"/>
        <w:spacing w:line="240" w:lineRule="auto"/>
        <w:ind w:left="360"/>
        <w:jc w:val="both"/>
        <w:rPr>
          <w:rFonts w:ascii="Arial" w:hAnsi="Arial" w:cs="Arial"/>
          <w:sz w:val="20"/>
          <w:szCs w:val="20"/>
        </w:rPr>
      </w:pPr>
    </w:p>
    <w:p w14:paraId="6F5A477E" w14:textId="77777777" w:rsidR="008A6BE0" w:rsidRDefault="00BC46FD">
      <w:pPr>
        <w:pStyle w:val="ListParagraph"/>
        <w:numPr>
          <w:ilvl w:val="0"/>
          <w:numId w:val="29"/>
        </w:numPr>
        <w:spacing w:line="240" w:lineRule="auto"/>
        <w:jc w:val="both"/>
        <w:rPr>
          <w:rFonts w:ascii="Arial" w:hAnsi="Arial" w:cs="Arial"/>
          <w:sz w:val="20"/>
          <w:szCs w:val="20"/>
        </w:rPr>
      </w:pPr>
      <w:r w:rsidRPr="008A6BE0">
        <w:rPr>
          <w:rFonts w:ascii="Arial" w:hAnsi="Arial" w:cs="Arial"/>
          <w:sz w:val="20"/>
          <w:szCs w:val="20"/>
          <w:lang w:val="en-GB"/>
        </w:rPr>
        <w:t xml:space="preserve">Kyrgyzstan's GDP had grown at a compound annual growth rate (CAGR) </w:t>
      </w:r>
      <w:r w:rsidR="0077733A" w:rsidRPr="008A6BE0">
        <w:rPr>
          <w:rFonts w:ascii="Arial" w:hAnsi="Arial" w:cs="Arial"/>
          <w:sz w:val="20"/>
          <w:szCs w:val="20"/>
          <w:lang w:val="en-GB"/>
        </w:rPr>
        <w:t xml:space="preserve">of 3.8% </w:t>
      </w:r>
      <w:r w:rsidRPr="008A6BE0">
        <w:rPr>
          <w:rFonts w:ascii="Arial" w:hAnsi="Arial" w:cs="Arial"/>
          <w:sz w:val="20"/>
          <w:szCs w:val="20"/>
          <w:lang w:val="en-GB"/>
        </w:rPr>
        <w:t>from 2013 to 2023</w:t>
      </w:r>
      <w:r w:rsidR="0077733A" w:rsidRPr="008A6BE0">
        <w:rPr>
          <w:rFonts w:ascii="Arial" w:hAnsi="Arial" w:cs="Arial"/>
          <w:sz w:val="20"/>
          <w:szCs w:val="20"/>
          <w:lang w:val="en-GB"/>
        </w:rPr>
        <w:t>,</w:t>
      </w:r>
      <w:r w:rsidRPr="008A6BE0">
        <w:rPr>
          <w:rFonts w:ascii="Arial" w:hAnsi="Arial" w:cs="Arial"/>
          <w:sz w:val="20"/>
          <w:szCs w:val="20"/>
          <w:lang w:val="en-GB"/>
        </w:rPr>
        <w:t xml:space="preserve"> with GDP per capita increasing by 1.</w:t>
      </w:r>
      <w:r w:rsidR="00E307C0" w:rsidRPr="008A6BE0">
        <w:rPr>
          <w:rFonts w:ascii="Arial" w:hAnsi="Arial" w:cs="Arial"/>
          <w:sz w:val="20"/>
          <w:szCs w:val="20"/>
          <w:lang w:val="en-GB"/>
        </w:rPr>
        <w:t>7</w:t>
      </w:r>
      <w:r w:rsidRPr="008A6BE0">
        <w:rPr>
          <w:rFonts w:ascii="Arial" w:hAnsi="Arial" w:cs="Arial"/>
          <w:sz w:val="20"/>
          <w:szCs w:val="20"/>
          <w:lang w:val="en-GB"/>
        </w:rPr>
        <w:t xml:space="preserve">%, reaching </w:t>
      </w:r>
      <w:r w:rsidR="00060C50" w:rsidRPr="008A6BE0">
        <w:rPr>
          <w:rFonts w:ascii="Arial" w:hAnsi="Arial" w:cs="Arial"/>
          <w:sz w:val="20"/>
          <w:szCs w:val="20"/>
          <w:lang w:val="en-GB"/>
        </w:rPr>
        <w:t xml:space="preserve">PPP USD 7,279 </w:t>
      </w:r>
      <w:r w:rsidRPr="008A6BE0">
        <w:rPr>
          <w:rFonts w:ascii="Arial" w:hAnsi="Arial" w:cs="Arial"/>
          <w:sz w:val="20"/>
          <w:szCs w:val="20"/>
          <w:lang w:val="en-GB"/>
        </w:rPr>
        <w:t>in 2023. Despite this progress, Kyrgyzstan remains the second poorest country in Central Asia by GDP per capita</w:t>
      </w:r>
      <w:r w:rsidR="00060C50">
        <w:rPr>
          <w:rStyle w:val="FootnoteReference"/>
          <w:rFonts w:ascii="Arial" w:hAnsi="Arial" w:cs="Arial"/>
          <w:sz w:val="20"/>
          <w:szCs w:val="20"/>
          <w:lang w:val="en-GB"/>
        </w:rPr>
        <w:footnoteReference w:id="8"/>
      </w:r>
      <w:r w:rsidRPr="008A6BE0">
        <w:rPr>
          <w:rFonts w:ascii="Arial" w:hAnsi="Arial" w:cs="Arial"/>
          <w:sz w:val="20"/>
          <w:szCs w:val="20"/>
          <w:lang w:val="en-GB"/>
        </w:rPr>
        <w:t>.</w:t>
      </w:r>
      <w:r w:rsidR="00732001" w:rsidRPr="008A6BE0">
        <w:rPr>
          <w:rFonts w:ascii="Arial" w:hAnsi="Arial" w:cs="Arial"/>
          <w:sz w:val="20"/>
          <w:szCs w:val="20"/>
        </w:rPr>
        <w:t xml:space="preserve"> The economic landscape is primarily driven by micro, small, and medium enterprises, which contribute over 40% of the country's GDP</w:t>
      </w:r>
      <w:r w:rsidR="00CE6E91">
        <w:rPr>
          <w:rStyle w:val="FootnoteReference"/>
          <w:rFonts w:ascii="Arial" w:hAnsi="Arial" w:cs="Arial"/>
          <w:sz w:val="20"/>
          <w:szCs w:val="20"/>
        </w:rPr>
        <w:footnoteReference w:id="9"/>
      </w:r>
      <w:r w:rsidR="00732001" w:rsidRPr="008A6BE0">
        <w:rPr>
          <w:rFonts w:ascii="Arial" w:hAnsi="Arial" w:cs="Arial"/>
          <w:sz w:val="20"/>
          <w:szCs w:val="20"/>
        </w:rPr>
        <w:t>.</w:t>
      </w:r>
    </w:p>
    <w:p w14:paraId="7575990B" w14:textId="77777777" w:rsidR="008A6BE0" w:rsidRPr="008A6BE0" w:rsidRDefault="008A6BE0" w:rsidP="008A6BE0">
      <w:pPr>
        <w:pStyle w:val="ListParagraph"/>
        <w:rPr>
          <w:rFonts w:ascii="Arial" w:hAnsi="Arial" w:cs="Arial"/>
          <w:sz w:val="20"/>
          <w:szCs w:val="20"/>
        </w:rPr>
      </w:pPr>
    </w:p>
    <w:p w14:paraId="37D05E07" w14:textId="77777777" w:rsidR="008A6BE0" w:rsidRDefault="00A13BF3">
      <w:pPr>
        <w:pStyle w:val="ListParagraph"/>
        <w:numPr>
          <w:ilvl w:val="0"/>
          <w:numId w:val="29"/>
        </w:numPr>
        <w:spacing w:line="240" w:lineRule="auto"/>
        <w:jc w:val="both"/>
        <w:rPr>
          <w:rFonts w:ascii="Arial" w:hAnsi="Arial" w:cs="Arial"/>
          <w:sz w:val="20"/>
          <w:szCs w:val="20"/>
        </w:rPr>
      </w:pPr>
      <w:r w:rsidRPr="008A6BE0">
        <w:rPr>
          <w:rFonts w:ascii="Arial" w:hAnsi="Arial" w:cs="Arial"/>
          <w:sz w:val="20"/>
          <w:szCs w:val="20"/>
        </w:rPr>
        <w:t xml:space="preserve">The main </w:t>
      </w:r>
      <w:r w:rsidR="00732001" w:rsidRPr="008A6BE0">
        <w:rPr>
          <w:rFonts w:ascii="Arial" w:hAnsi="Arial" w:cs="Arial"/>
          <w:sz w:val="20"/>
          <w:szCs w:val="20"/>
        </w:rPr>
        <w:t>sectors</w:t>
      </w:r>
      <w:r w:rsidRPr="008A6BE0">
        <w:rPr>
          <w:rFonts w:ascii="Arial" w:hAnsi="Arial" w:cs="Arial"/>
          <w:sz w:val="20"/>
          <w:szCs w:val="20"/>
        </w:rPr>
        <w:t xml:space="preserve"> to the economy include agriculture (</w:t>
      </w:r>
      <w:r w:rsidR="00822A01" w:rsidRPr="008A6BE0">
        <w:rPr>
          <w:rFonts w:ascii="Arial" w:hAnsi="Arial" w:cs="Arial"/>
          <w:sz w:val="20"/>
          <w:szCs w:val="20"/>
        </w:rPr>
        <w:t>9.5</w:t>
      </w:r>
      <w:r w:rsidRPr="008A6BE0">
        <w:rPr>
          <w:rFonts w:ascii="Arial" w:hAnsi="Arial" w:cs="Arial"/>
          <w:sz w:val="20"/>
          <w:szCs w:val="20"/>
        </w:rPr>
        <w:t>% of GDP</w:t>
      </w:r>
      <w:r w:rsidR="00822A01" w:rsidRPr="008A6BE0">
        <w:rPr>
          <w:rFonts w:ascii="Arial" w:hAnsi="Arial" w:cs="Arial"/>
          <w:sz w:val="20"/>
          <w:szCs w:val="20"/>
        </w:rPr>
        <w:t xml:space="preserve"> in 2023</w:t>
      </w:r>
      <w:r w:rsidRPr="008A6BE0">
        <w:rPr>
          <w:rFonts w:ascii="Arial" w:hAnsi="Arial" w:cs="Arial"/>
          <w:sz w:val="20"/>
          <w:szCs w:val="20"/>
        </w:rPr>
        <w:t>), industry</w:t>
      </w:r>
      <w:r w:rsidR="002F2E92" w:rsidRPr="008A6BE0">
        <w:rPr>
          <w:rFonts w:ascii="Arial" w:hAnsi="Arial" w:cs="Arial"/>
          <w:sz w:val="20"/>
          <w:szCs w:val="20"/>
        </w:rPr>
        <w:t xml:space="preserve"> (</w:t>
      </w:r>
      <w:r w:rsidR="00822A01" w:rsidRPr="008A6BE0">
        <w:rPr>
          <w:rFonts w:ascii="Arial" w:hAnsi="Arial" w:cs="Arial"/>
          <w:sz w:val="20"/>
          <w:szCs w:val="20"/>
        </w:rPr>
        <w:t>12.6</w:t>
      </w:r>
      <w:r w:rsidR="002F2E92" w:rsidRPr="008A6BE0">
        <w:rPr>
          <w:rFonts w:ascii="Arial" w:hAnsi="Arial" w:cs="Arial"/>
          <w:sz w:val="20"/>
          <w:szCs w:val="20"/>
        </w:rPr>
        <w:t>%)</w:t>
      </w:r>
      <w:r w:rsidRPr="008A6BE0">
        <w:rPr>
          <w:rFonts w:ascii="Arial" w:hAnsi="Arial" w:cs="Arial"/>
          <w:sz w:val="20"/>
          <w:szCs w:val="20"/>
        </w:rPr>
        <w:t>, and services</w:t>
      </w:r>
      <w:r w:rsidR="002F2E92" w:rsidRPr="008A6BE0">
        <w:rPr>
          <w:rFonts w:ascii="Arial" w:hAnsi="Arial" w:cs="Arial"/>
          <w:sz w:val="20"/>
          <w:szCs w:val="20"/>
        </w:rPr>
        <w:t xml:space="preserve"> dominated by trade that contributed 16</w:t>
      </w:r>
      <w:r w:rsidR="00822A01" w:rsidRPr="008A6BE0">
        <w:rPr>
          <w:rFonts w:ascii="Arial" w:hAnsi="Arial" w:cs="Arial"/>
          <w:sz w:val="20"/>
          <w:szCs w:val="20"/>
        </w:rPr>
        <w:t>.6</w:t>
      </w:r>
      <w:r w:rsidR="002F2E92" w:rsidRPr="008A6BE0">
        <w:rPr>
          <w:rFonts w:ascii="Arial" w:hAnsi="Arial" w:cs="Arial"/>
          <w:sz w:val="20"/>
          <w:szCs w:val="20"/>
        </w:rPr>
        <w:t>% to GDP in 2023</w:t>
      </w:r>
      <w:r w:rsidR="00822A01">
        <w:rPr>
          <w:rStyle w:val="FootnoteReference"/>
          <w:rFonts w:ascii="Arial" w:hAnsi="Arial" w:cs="Arial"/>
          <w:sz w:val="20"/>
          <w:szCs w:val="20"/>
        </w:rPr>
        <w:footnoteReference w:id="10"/>
      </w:r>
      <w:r w:rsidRPr="008A6BE0">
        <w:rPr>
          <w:rFonts w:ascii="Arial" w:hAnsi="Arial" w:cs="Arial"/>
          <w:sz w:val="20"/>
          <w:szCs w:val="20"/>
        </w:rPr>
        <w:t>.</w:t>
      </w:r>
      <w:r w:rsidR="00341C78" w:rsidRPr="008A6BE0">
        <w:rPr>
          <w:rFonts w:ascii="Arial" w:hAnsi="Arial" w:cs="Arial"/>
          <w:sz w:val="20"/>
          <w:szCs w:val="20"/>
        </w:rPr>
        <w:t xml:space="preserve"> Touristic services are estimated to add up to 5% to GDP</w:t>
      </w:r>
      <w:r w:rsidR="00C2571A">
        <w:rPr>
          <w:rStyle w:val="FootnoteReference"/>
          <w:rFonts w:ascii="Arial" w:hAnsi="Arial" w:cs="Arial"/>
          <w:sz w:val="20"/>
          <w:szCs w:val="20"/>
        </w:rPr>
        <w:footnoteReference w:id="11"/>
      </w:r>
      <w:r w:rsidR="00341C78" w:rsidRPr="008A6BE0">
        <w:rPr>
          <w:rFonts w:ascii="Arial" w:hAnsi="Arial" w:cs="Arial"/>
          <w:sz w:val="20"/>
          <w:szCs w:val="20"/>
        </w:rPr>
        <w:t>.</w:t>
      </w:r>
      <w:r w:rsidRPr="008A6BE0">
        <w:rPr>
          <w:rFonts w:ascii="Arial" w:hAnsi="Arial" w:cs="Arial"/>
          <w:sz w:val="20"/>
          <w:szCs w:val="20"/>
        </w:rPr>
        <w:t xml:space="preserve"> Agriculture remains the largest sector, employing about </w:t>
      </w:r>
      <w:r w:rsidR="002F2E92" w:rsidRPr="008A6BE0">
        <w:rPr>
          <w:rFonts w:ascii="Arial" w:hAnsi="Arial" w:cs="Arial"/>
          <w:sz w:val="20"/>
          <w:szCs w:val="20"/>
        </w:rPr>
        <w:t>one-fifth</w:t>
      </w:r>
      <w:r w:rsidRPr="008A6BE0">
        <w:rPr>
          <w:rFonts w:ascii="Arial" w:hAnsi="Arial" w:cs="Arial"/>
          <w:sz w:val="20"/>
          <w:szCs w:val="20"/>
        </w:rPr>
        <w:t xml:space="preserve"> of the workforce, while</w:t>
      </w:r>
      <w:r w:rsidR="002F2E92" w:rsidRPr="008A6BE0">
        <w:rPr>
          <w:rFonts w:ascii="Arial" w:hAnsi="Arial" w:cs="Arial"/>
          <w:sz w:val="20"/>
          <w:szCs w:val="20"/>
        </w:rPr>
        <w:t xml:space="preserve"> trade (16% of official employment), construction (12%) and</w:t>
      </w:r>
      <w:r w:rsidRPr="008A6BE0">
        <w:rPr>
          <w:rFonts w:ascii="Arial" w:hAnsi="Arial" w:cs="Arial"/>
          <w:sz w:val="20"/>
          <w:szCs w:val="20"/>
        </w:rPr>
        <w:t xml:space="preserve"> </w:t>
      </w:r>
      <w:r w:rsidR="002F2E92" w:rsidRPr="008A6BE0">
        <w:rPr>
          <w:rFonts w:ascii="Arial" w:hAnsi="Arial" w:cs="Arial"/>
          <w:sz w:val="20"/>
          <w:szCs w:val="20"/>
        </w:rPr>
        <w:t>industry (11%)</w:t>
      </w:r>
      <w:r w:rsidRPr="008A6BE0">
        <w:rPr>
          <w:rFonts w:ascii="Arial" w:hAnsi="Arial" w:cs="Arial"/>
          <w:sz w:val="20"/>
          <w:szCs w:val="20"/>
        </w:rPr>
        <w:t>, particularly in gold and textiles</w:t>
      </w:r>
      <w:r w:rsidR="002F2E92" w:rsidRPr="008A6BE0">
        <w:rPr>
          <w:rFonts w:ascii="Arial" w:hAnsi="Arial" w:cs="Arial"/>
          <w:sz w:val="20"/>
          <w:szCs w:val="20"/>
        </w:rPr>
        <w:t>, also play important roles</w:t>
      </w:r>
      <w:r w:rsidR="00822A01">
        <w:rPr>
          <w:rStyle w:val="FootnoteReference"/>
          <w:rFonts w:ascii="Arial" w:hAnsi="Arial" w:cs="Arial"/>
          <w:sz w:val="20"/>
          <w:szCs w:val="20"/>
        </w:rPr>
        <w:footnoteReference w:id="12"/>
      </w:r>
      <w:r w:rsidRPr="008A6BE0">
        <w:rPr>
          <w:rFonts w:ascii="Arial" w:hAnsi="Arial" w:cs="Arial"/>
          <w:sz w:val="20"/>
          <w:szCs w:val="20"/>
        </w:rPr>
        <w:t>.</w:t>
      </w:r>
      <w:r w:rsidR="00031117" w:rsidRPr="008A6BE0">
        <w:rPr>
          <w:rFonts w:ascii="Arial" w:hAnsi="Arial" w:cs="Arial"/>
          <w:sz w:val="20"/>
          <w:szCs w:val="20"/>
        </w:rPr>
        <w:t xml:space="preserve"> </w:t>
      </w:r>
      <w:r w:rsidR="0062064D" w:rsidRPr="008A6BE0">
        <w:rPr>
          <w:rFonts w:ascii="Arial" w:hAnsi="Arial" w:cs="Arial"/>
          <w:sz w:val="20"/>
          <w:szCs w:val="20"/>
        </w:rPr>
        <w:t>Recently, Kyrgyzstan's booming foreign trade sector has become a</w:t>
      </w:r>
      <w:r w:rsidR="00D51FC9" w:rsidRPr="008A6BE0">
        <w:rPr>
          <w:rFonts w:ascii="Arial" w:hAnsi="Arial" w:cs="Arial"/>
          <w:sz w:val="20"/>
          <w:szCs w:val="20"/>
        </w:rPr>
        <w:t xml:space="preserve">n important </w:t>
      </w:r>
      <w:r w:rsidR="0062064D" w:rsidRPr="008A6BE0">
        <w:rPr>
          <w:rFonts w:ascii="Arial" w:hAnsi="Arial" w:cs="Arial"/>
          <w:sz w:val="20"/>
          <w:szCs w:val="20"/>
        </w:rPr>
        <w:t xml:space="preserve">driver of economic growth, boosting budget revenues through higher import VAT collections, creating employment opportunities, and stimulating </w:t>
      </w:r>
      <w:r w:rsidR="00085437" w:rsidRPr="008A6BE0">
        <w:rPr>
          <w:rFonts w:ascii="Arial" w:hAnsi="Arial" w:cs="Arial"/>
          <w:sz w:val="20"/>
          <w:szCs w:val="20"/>
        </w:rPr>
        <w:t xml:space="preserve">both </w:t>
      </w:r>
      <w:r w:rsidR="0062064D" w:rsidRPr="008A6BE0">
        <w:rPr>
          <w:rFonts w:ascii="Arial" w:hAnsi="Arial" w:cs="Arial"/>
          <w:sz w:val="20"/>
          <w:szCs w:val="20"/>
        </w:rPr>
        <w:t xml:space="preserve">credit for trade businesses and </w:t>
      </w:r>
      <w:r w:rsidR="00085437" w:rsidRPr="008A6BE0">
        <w:rPr>
          <w:rFonts w:ascii="Arial" w:hAnsi="Arial" w:cs="Arial"/>
          <w:sz w:val="20"/>
          <w:szCs w:val="20"/>
        </w:rPr>
        <w:t>consumer credit</w:t>
      </w:r>
      <w:r w:rsidR="0062064D" w:rsidRPr="008A6BE0">
        <w:rPr>
          <w:rFonts w:ascii="Arial" w:hAnsi="Arial" w:cs="Arial"/>
          <w:sz w:val="20"/>
          <w:szCs w:val="20"/>
        </w:rPr>
        <w:t xml:space="preserve">, with </w:t>
      </w:r>
      <w:r w:rsidR="00085437" w:rsidRPr="008A6BE0">
        <w:rPr>
          <w:rFonts w:ascii="Arial" w:hAnsi="Arial" w:cs="Arial"/>
          <w:sz w:val="20"/>
          <w:szCs w:val="20"/>
        </w:rPr>
        <w:t xml:space="preserve">the latter often being </w:t>
      </w:r>
      <w:r w:rsidR="0062064D" w:rsidRPr="008A6BE0">
        <w:rPr>
          <w:rFonts w:ascii="Arial" w:hAnsi="Arial" w:cs="Arial"/>
          <w:sz w:val="20"/>
          <w:szCs w:val="20"/>
        </w:rPr>
        <w:t>used to finance micro</w:t>
      </w:r>
      <w:r w:rsidR="00732001" w:rsidRPr="008A6BE0">
        <w:rPr>
          <w:rFonts w:ascii="Arial" w:hAnsi="Arial" w:cs="Arial"/>
          <w:sz w:val="20"/>
          <w:szCs w:val="20"/>
          <w:lang w:val="en-GB"/>
        </w:rPr>
        <w:t>/</w:t>
      </w:r>
      <w:r w:rsidR="0062064D" w:rsidRPr="008A6BE0">
        <w:rPr>
          <w:rFonts w:ascii="Arial" w:hAnsi="Arial" w:cs="Arial"/>
          <w:sz w:val="20"/>
          <w:szCs w:val="20"/>
        </w:rPr>
        <w:t>small businesses</w:t>
      </w:r>
      <w:r w:rsidR="0076405E">
        <w:rPr>
          <w:rStyle w:val="FootnoteReference"/>
          <w:rFonts w:ascii="Arial" w:hAnsi="Arial" w:cs="Arial"/>
          <w:sz w:val="20"/>
          <w:szCs w:val="20"/>
        </w:rPr>
        <w:footnoteReference w:id="13"/>
      </w:r>
      <w:r w:rsidR="00CD283E" w:rsidRPr="008A6BE0">
        <w:rPr>
          <w:rFonts w:ascii="Arial" w:hAnsi="Arial" w:cs="Arial"/>
          <w:sz w:val="20"/>
          <w:szCs w:val="20"/>
          <w:vertAlign w:val="superscript"/>
        </w:rPr>
        <w:t>,</w:t>
      </w:r>
      <w:r w:rsidR="00CD283E">
        <w:rPr>
          <w:rStyle w:val="FootnoteReference"/>
          <w:rFonts w:ascii="Arial" w:hAnsi="Arial" w:cs="Arial"/>
          <w:sz w:val="20"/>
          <w:szCs w:val="20"/>
        </w:rPr>
        <w:footnoteReference w:id="14"/>
      </w:r>
      <w:r w:rsidR="0062064D" w:rsidRPr="008A6BE0">
        <w:rPr>
          <w:rFonts w:ascii="Arial" w:hAnsi="Arial" w:cs="Arial"/>
          <w:sz w:val="20"/>
          <w:szCs w:val="20"/>
        </w:rPr>
        <w:t>.</w:t>
      </w:r>
    </w:p>
    <w:p w14:paraId="4FB40650" w14:textId="77777777" w:rsidR="008A6BE0" w:rsidRPr="008A6BE0" w:rsidRDefault="008A6BE0" w:rsidP="008A6BE0">
      <w:pPr>
        <w:pStyle w:val="ListParagraph"/>
        <w:rPr>
          <w:rFonts w:ascii="Arial" w:hAnsi="Arial" w:cs="Arial"/>
          <w:sz w:val="20"/>
          <w:szCs w:val="20"/>
        </w:rPr>
      </w:pPr>
    </w:p>
    <w:p w14:paraId="5009667C" w14:textId="77777777" w:rsidR="008A6BE0" w:rsidRPr="008A6BE0" w:rsidRDefault="00B66226">
      <w:pPr>
        <w:pStyle w:val="ListParagraph"/>
        <w:numPr>
          <w:ilvl w:val="0"/>
          <w:numId w:val="29"/>
        </w:numPr>
        <w:spacing w:line="240" w:lineRule="auto"/>
        <w:jc w:val="both"/>
        <w:rPr>
          <w:rFonts w:cstheme="minorHAnsi"/>
          <w:sz w:val="20"/>
          <w:szCs w:val="20"/>
          <w:lang w:val="en-GB"/>
        </w:rPr>
      </w:pPr>
      <w:r w:rsidRPr="008A6BE0">
        <w:rPr>
          <w:rFonts w:ascii="Arial" w:hAnsi="Arial" w:cs="Arial"/>
          <w:sz w:val="20"/>
          <w:szCs w:val="20"/>
        </w:rPr>
        <w:t>As a net importer</w:t>
      </w:r>
      <w:r w:rsidR="00533DF9" w:rsidRPr="008A6BE0">
        <w:rPr>
          <w:rFonts w:ascii="Arial" w:hAnsi="Arial" w:cs="Arial"/>
          <w:sz w:val="20"/>
          <w:szCs w:val="20"/>
        </w:rPr>
        <w:t xml:space="preserve"> of</w:t>
      </w:r>
      <w:r w:rsidRPr="008A6BE0">
        <w:rPr>
          <w:rFonts w:ascii="Arial" w:hAnsi="Arial" w:cs="Arial"/>
          <w:sz w:val="20"/>
          <w:szCs w:val="20"/>
        </w:rPr>
        <w:t xml:space="preserve"> </w:t>
      </w:r>
      <w:r w:rsidR="00533DF9" w:rsidRPr="008A6BE0">
        <w:rPr>
          <w:rFonts w:ascii="Arial" w:hAnsi="Arial" w:cs="Arial"/>
          <w:sz w:val="20"/>
          <w:szCs w:val="20"/>
        </w:rPr>
        <w:t>essential commodities and goods, including fuels, medicines</w:t>
      </w:r>
      <w:r w:rsidR="00533DF9">
        <w:rPr>
          <w:rStyle w:val="FootnoteReference"/>
          <w:rFonts w:ascii="Arial" w:hAnsi="Arial" w:cs="Arial"/>
          <w:sz w:val="20"/>
          <w:szCs w:val="20"/>
        </w:rPr>
        <w:footnoteReference w:id="15"/>
      </w:r>
      <w:r w:rsidR="00533DF9" w:rsidRPr="008A6BE0">
        <w:rPr>
          <w:rFonts w:ascii="Arial" w:hAnsi="Arial" w:cs="Arial"/>
          <w:sz w:val="20"/>
          <w:szCs w:val="20"/>
        </w:rPr>
        <w:t>, and basic foods (</w:t>
      </w:r>
      <w:r w:rsidR="00B77751" w:rsidRPr="008A6BE0">
        <w:rPr>
          <w:rFonts w:ascii="Arial" w:hAnsi="Arial" w:cs="Arial"/>
          <w:sz w:val="20"/>
          <w:szCs w:val="20"/>
        </w:rPr>
        <w:t xml:space="preserve">e.g. </w:t>
      </w:r>
      <w:r w:rsidR="00533DF9" w:rsidRPr="008A6BE0">
        <w:rPr>
          <w:rFonts w:ascii="Arial" w:hAnsi="Arial" w:cs="Arial"/>
          <w:sz w:val="20"/>
          <w:szCs w:val="20"/>
        </w:rPr>
        <w:t>wheat, vegetable oil, sugar</w:t>
      </w:r>
      <w:r w:rsidR="00533DF9" w:rsidRPr="00533DF9">
        <w:rPr>
          <w:rStyle w:val="FootnoteReference"/>
          <w:rFonts w:ascii="Arial" w:hAnsi="Arial" w:cs="Arial"/>
          <w:sz w:val="20"/>
          <w:szCs w:val="20"/>
        </w:rPr>
        <w:footnoteReference w:id="16"/>
      </w:r>
      <w:r w:rsidR="00EC3D1F" w:rsidRPr="008A6BE0">
        <w:rPr>
          <w:rFonts w:ascii="Arial" w:hAnsi="Arial" w:cs="Arial"/>
          <w:sz w:val="20"/>
          <w:szCs w:val="20"/>
        </w:rPr>
        <w:t>)</w:t>
      </w:r>
      <w:r w:rsidRPr="008A6BE0">
        <w:rPr>
          <w:rFonts w:ascii="Arial" w:hAnsi="Arial" w:cs="Arial"/>
          <w:sz w:val="20"/>
          <w:szCs w:val="20"/>
        </w:rPr>
        <w:t>, Kyrgyzstan's economy is highly vulnerable to external shocks, including fluctuations in global commodity prices</w:t>
      </w:r>
      <w:r w:rsidR="00342CD4" w:rsidRPr="008A6BE0">
        <w:rPr>
          <w:rFonts w:ascii="Arial" w:hAnsi="Arial" w:cs="Arial"/>
          <w:sz w:val="20"/>
          <w:szCs w:val="20"/>
        </w:rPr>
        <w:t xml:space="preserve"> </w:t>
      </w:r>
      <w:r w:rsidRPr="008A6BE0">
        <w:rPr>
          <w:rFonts w:ascii="Arial" w:hAnsi="Arial" w:cs="Arial"/>
          <w:sz w:val="20"/>
          <w:szCs w:val="20"/>
        </w:rPr>
        <w:t>and impacts of natural disasters.</w:t>
      </w:r>
      <w:r w:rsidR="00342CD4" w:rsidRPr="008A6BE0">
        <w:rPr>
          <w:rFonts w:ascii="Arial" w:hAnsi="Arial" w:cs="Arial"/>
          <w:sz w:val="20"/>
          <w:szCs w:val="20"/>
        </w:rPr>
        <w:t xml:space="preserve"> </w:t>
      </w:r>
      <w:r w:rsidR="00EC3D1F" w:rsidRPr="008A6BE0">
        <w:rPr>
          <w:rFonts w:ascii="Arial" w:hAnsi="Arial" w:cs="Arial"/>
          <w:sz w:val="20"/>
          <w:szCs w:val="20"/>
        </w:rPr>
        <w:t>The vulnerability of the economy is further exacerbated by dependance on external labor migration, with nearly 0.9 million Kyrgyz citizens working abroad</w:t>
      </w:r>
      <w:r w:rsidR="003763BD" w:rsidRPr="008A6BE0">
        <w:rPr>
          <w:rFonts w:ascii="Arial" w:hAnsi="Arial" w:cs="Arial"/>
          <w:sz w:val="20"/>
          <w:szCs w:val="20"/>
        </w:rPr>
        <w:t xml:space="preserve"> due to limited internal labor market opportunities</w:t>
      </w:r>
      <w:r w:rsidR="00EC3D1F" w:rsidRPr="008A6BE0">
        <w:rPr>
          <w:rFonts w:ascii="Arial" w:hAnsi="Arial" w:cs="Arial"/>
          <w:sz w:val="20"/>
          <w:szCs w:val="20"/>
        </w:rPr>
        <w:t xml:space="preserve"> and remittances accounting for almost 30% of GDP</w:t>
      </w:r>
      <w:r w:rsidR="00EC3D1F">
        <w:rPr>
          <w:rStyle w:val="FootnoteReference"/>
          <w:rFonts w:ascii="Arial" w:hAnsi="Arial" w:cs="Arial"/>
          <w:sz w:val="20"/>
          <w:szCs w:val="20"/>
        </w:rPr>
        <w:footnoteReference w:id="17"/>
      </w:r>
      <w:r w:rsidR="00EC3D1F" w:rsidRPr="008A6BE0">
        <w:rPr>
          <w:rFonts w:ascii="Arial" w:hAnsi="Arial" w:cs="Arial"/>
          <w:sz w:val="20"/>
          <w:szCs w:val="20"/>
        </w:rPr>
        <w:t>.</w:t>
      </w:r>
    </w:p>
    <w:p w14:paraId="13AD904C" w14:textId="77777777" w:rsidR="008A6BE0" w:rsidRPr="008A6BE0" w:rsidRDefault="008A6BE0" w:rsidP="008A6BE0">
      <w:pPr>
        <w:pStyle w:val="ListParagraph"/>
        <w:rPr>
          <w:rFonts w:ascii="Arial" w:hAnsi="Arial" w:cs="Arial"/>
          <w:sz w:val="20"/>
          <w:szCs w:val="20"/>
        </w:rPr>
      </w:pPr>
    </w:p>
    <w:p w14:paraId="78B908AA" w14:textId="77777777" w:rsidR="008A6BE0" w:rsidRPr="008A6BE0" w:rsidRDefault="00B66226">
      <w:pPr>
        <w:pStyle w:val="ListParagraph"/>
        <w:numPr>
          <w:ilvl w:val="0"/>
          <w:numId w:val="29"/>
        </w:numPr>
        <w:spacing w:line="240" w:lineRule="auto"/>
        <w:jc w:val="both"/>
        <w:rPr>
          <w:rStyle w:val="DefaultText"/>
          <w:rFonts w:asciiTheme="majorHAnsi" w:hAnsiTheme="majorHAnsi" w:cstheme="majorHAnsi"/>
          <w:color w:val="auto"/>
        </w:rPr>
      </w:pPr>
      <w:r w:rsidRPr="008A6BE0">
        <w:rPr>
          <w:rFonts w:ascii="Arial" w:hAnsi="Arial" w:cs="Arial"/>
          <w:sz w:val="20"/>
          <w:szCs w:val="20"/>
        </w:rPr>
        <w:t xml:space="preserve">The population of the country saw </w:t>
      </w:r>
      <w:r w:rsidR="00272E70" w:rsidRPr="008A6BE0">
        <w:rPr>
          <w:rFonts w:ascii="Arial" w:hAnsi="Arial" w:cs="Arial"/>
          <w:sz w:val="20"/>
          <w:szCs w:val="20"/>
        </w:rPr>
        <w:t>growth</w:t>
      </w:r>
      <w:r w:rsidRPr="008A6BE0">
        <w:rPr>
          <w:rFonts w:ascii="Arial" w:hAnsi="Arial" w:cs="Arial"/>
          <w:sz w:val="20"/>
          <w:szCs w:val="20"/>
        </w:rPr>
        <w:t xml:space="preserve"> </w:t>
      </w:r>
      <w:r w:rsidRPr="008A6BE0">
        <w:rPr>
          <w:rStyle w:val="DefaultText"/>
          <w:color w:val="auto"/>
          <w:lang w:val="en-GB"/>
        </w:rPr>
        <w:t xml:space="preserve">with a CAGR of 2.2% over the past decade, and more than a third of its population </w:t>
      </w:r>
      <w:r w:rsidR="00272E70" w:rsidRPr="008A6BE0">
        <w:rPr>
          <w:rStyle w:val="DefaultText"/>
          <w:color w:val="auto"/>
          <w:lang w:val="en-GB"/>
        </w:rPr>
        <w:t xml:space="preserve">now </w:t>
      </w:r>
      <w:r w:rsidRPr="008A6BE0">
        <w:rPr>
          <w:rStyle w:val="DefaultText"/>
          <w:color w:val="auto"/>
          <w:lang w:val="en-GB"/>
        </w:rPr>
        <w:t>are aged between 14 and 35</w:t>
      </w:r>
      <w:r>
        <w:rPr>
          <w:rStyle w:val="FootnoteReference"/>
          <w:rFonts w:cstheme="minorHAnsi"/>
          <w:sz w:val="20"/>
          <w:szCs w:val="20"/>
          <w:lang w:val="en-GB"/>
        </w:rPr>
        <w:footnoteReference w:id="18"/>
      </w:r>
      <w:r w:rsidRPr="008A6BE0">
        <w:rPr>
          <w:rStyle w:val="DefaultText"/>
          <w:color w:val="auto"/>
          <w:lang w:val="en-GB"/>
        </w:rPr>
        <w:t>.</w:t>
      </w:r>
      <w:r w:rsidR="00342CD4" w:rsidRPr="008A6BE0">
        <w:rPr>
          <w:rStyle w:val="DefaultText"/>
          <w:color w:val="auto"/>
          <w:lang w:val="en-GB"/>
        </w:rPr>
        <w:t xml:space="preserve"> Over 65% of population reside</w:t>
      </w:r>
      <w:r w:rsidR="007658B8" w:rsidRPr="008A6BE0">
        <w:rPr>
          <w:rStyle w:val="DefaultText"/>
          <w:color w:val="auto"/>
          <w:lang w:val="en-GB"/>
        </w:rPr>
        <w:t>s</w:t>
      </w:r>
      <w:r w:rsidR="00342CD4" w:rsidRPr="008A6BE0">
        <w:rPr>
          <w:rStyle w:val="DefaultText"/>
          <w:color w:val="auto"/>
          <w:lang w:val="en-GB"/>
        </w:rPr>
        <w:t xml:space="preserve"> in rural areas</w:t>
      </w:r>
      <w:r w:rsidR="00342CD4">
        <w:rPr>
          <w:rStyle w:val="FootnoteReference"/>
          <w:rFonts w:cstheme="minorHAnsi"/>
          <w:sz w:val="20"/>
          <w:szCs w:val="20"/>
          <w:lang w:val="en-GB"/>
        </w:rPr>
        <w:footnoteReference w:id="19"/>
      </w:r>
      <w:r w:rsidR="00342CD4" w:rsidRPr="008A6BE0">
        <w:rPr>
          <w:rStyle w:val="DefaultText"/>
          <w:color w:val="auto"/>
          <w:lang w:val="en-GB"/>
        </w:rPr>
        <w:t xml:space="preserve">, </w:t>
      </w:r>
      <w:r w:rsidR="007658B8" w:rsidRPr="008A6BE0">
        <w:rPr>
          <w:rStyle w:val="DefaultText"/>
          <w:color w:val="auto"/>
          <w:lang w:val="en-GB"/>
        </w:rPr>
        <w:t>although</w:t>
      </w:r>
      <w:r w:rsidR="00342CD4" w:rsidRPr="008A6BE0">
        <w:rPr>
          <w:rStyle w:val="DefaultText"/>
          <w:color w:val="auto"/>
          <w:lang w:val="en-GB"/>
        </w:rPr>
        <w:t xml:space="preserve"> there is a strong</w:t>
      </w:r>
      <w:r w:rsidR="007658B8" w:rsidRPr="008A6BE0">
        <w:rPr>
          <w:rStyle w:val="DefaultText"/>
          <w:color w:val="auto"/>
          <w:lang w:val="en-GB"/>
        </w:rPr>
        <w:t xml:space="preserve"> trend of</w:t>
      </w:r>
      <w:r w:rsidR="00342CD4" w:rsidRPr="008A6BE0">
        <w:rPr>
          <w:rStyle w:val="DefaultText"/>
          <w:color w:val="auto"/>
          <w:lang w:val="en-GB"/>
        </w:rPr>
        <w:t xml:space="preserve"> urbanization</w:t>
      </w:r>
      <w:r w:rsidR="007658B8" w:rsidRPr="008A6BE0">
        <w:rPr>
          <w:rStyle w:val="DefaultText"/>
          <w:color w:val="auto"/>
          <w:lang w:val="en-GB"/>
        </w:rPr>
        <w:t xml:space="preserve">, particularly towards </w:t>
      </w:r>
      <w:r w:rsidR="00342CD4" w:rsidRPr="008A6BE0">
        <w:rPr>
          <w:rStyle w:val="DefaultText"/>
          <w:color w:val="auto"/>
          <w:lang w:val="en-GB"/>
        </w:rPr>
        <w:t>the capital, Bishkek, and the surrounding Chu</w:t>
      </w:r>
      <w:r w:rsidR="00DD0479" w:rsidRPr="008A6BE0">
        <w:rPr>
          <w:rStyle w:val="DefaultText"/>
          <w:color w:val="auto"/>
          <w:lang w:val="en-GB"/>
        </w:rPr>
        <w:t>i</w:t>
      </w:r>
      <w:r w:rsidR="00342CD4" w:rsidRPr="008A6BE0">
        <w:rPr>
          <w:rStyle w:val="DefaultText"/>
          <w:color w:val="auto"/>
          <w:lang w:val="en-GB"/>
        </w:rPr>
        <w:t xml:space="preserve"> </w:t>
      </w:r>
      <w:r w:rsidR="00DD0479" w:rsidRPr="008A6BE0">
        <w:rPr>
          <w:rStyle w:val="DefaultText"/>
          <w:color w:val="auto"/>
          <w:lang w:val="en-GB"/>
        </w:rPr>
        <w:t>province</w:t>
      </w:r>
      <w:r w:rsidR="00342CD4" w:rsidRPr="008A6BE0">
        <w:rPr>
          <w:rStyle w:val="DefaultText"/>
          <w:color w:val="auto"/>
          <w:lang w:val="en-GB"/>
        </w:rPr>
        <w:t xml:space="preserve">, </w:t>
      </w:r>
      <w:r w:rsidR="007658B8" w:rsidRPr="008A6BE0">
        <w:rPr>
          <w:rStyle w:val="DefaultText"/>
          <w:color w:val="auto"/>
          <w:lang w:val="en-GB"/>
        </w:rPr>
        <w:t>with internal migration steadily increasing</w:t>
      </w:r>
      <w:r w:rsidR="007658B8">
        <w:rPr>
          <w:rStyle w:val="FootnoteReference"/>
          <w:rFonts w:cstheme="minorHAnsi"/>
          <w:sz w:val="20"/>
          <w:szCs w:val="20"/>
          <w:lang w:val="en-GB"/>
        </w:rPr>
        <w:footnoteReference w:id="20"/>
      </w:r>
      <w:r w:rsidR="007658B8" w:rsidRPr="008A6BE0">
        <w:rPr>
          <w:rStyle w:val="DefaultText"/>
          <w:color w:val="auto"/>
          <w:lang w:val="en-GB"/>
        </w:rPr>
        <w:t>.</w:t>
      </w:r>
      <w:r w:rsidR="006378C1" w:rsidRPr="008A6BE0">
        <w:rPr>
          <w:rStyle w:val="DefaultText"/>
          <w:color w:val="auto"/>
          <w:lang w:val="en-GB"/>
        </w:rPr>
        <w:t xml:space="preserve"> The literacy rate is high, nearing 99%</w:t>
      </w:r>
      <w:r w:rsidR="006378C1">
        <w:rPr>
          <w:rStyle w:val="FootnoteReference"/>
          <w:rFonts w:cstheme="minorHAnsi"/>
          <w:sz w:val="20"/>
          <w:szCs w:val="20"/>
          <w:lang w:val="en-GB"/>
        </w:rPr>
        <w:footnoteReference w:id="21"/>
      </w:r>
      <w:r w:rsidR="006378C1" w:rsidRPr="008A6BE0">
        <w:rPr>
          <w:rStyle w:val="DefaultText"/>
          <w:color w:val="auto"/>
          <w:lang w:val="en-GB"/>
        </w:rPr>
        <w:t>, and access to education has improved in recent years, particularly in urban areas.</w:t>
      </w:r>
      <w:r w:rsidR="000833E0" w:rsidRPr="000833E0">
        <w:t xml:space="preserve"> </w:t>
      </w:r>
      <w:r w:rsidR="000833E0" w:rsidRPr="008A6BE0">
        <w:rPr>
          <w:rStyle w:val="DefaultText"/>
          <w:color w:val="auto"/>
          <w:lang w:val="en-GB"/>
        </w:rPr>
        <w:t>The healthcare system, while expanding, struggles with underfunding and uneven access, especially in remote areas.</w:t>
      </w:r>
    </w:p>
    <w:p w14:paraId="6D8E52AC" w14:textId="77777777" w:rsidR="008A6BE0" w:rsidRPr="008A6BE0" w:rsidRDefault="008A6BE0" w:rsidP="008A6BE0">
      <w:pPr>
        <w:pStyle w:val="ListParagraph"/>
        <w:rPr>
          <w:rFonts w:asciiTheme="majorHAnsi" w:hAnsiTheme="majorHAnsi" w:cstheme="majorHAnsi"/>
          <w:sz w:val="20"/>
          <w:szCs w:val="20"/>
        </w:rPr>
      </w:pPr>
    </w:p>
    <w:p w14:paraId="2C583A30" w14:textId="77777777" w:rsidR="008A6BE0" w:rsidRDefault="00D76417">
      <w:pPr>
        <w:pStyle w:val="ListParagraph"/>
        <w:numPr>
          <w:ilvl w:val="0"/>
          <w:numId w:val="29"/>
        </w:numPr>
        <w:spacing w:before="120" w:after="120" w:line="240" w:lineRule="auto"/>
        <w:ind w:right="-29"/>
        <w:jc w:val="both"/>
        <w:rPr>
          <w:rFonts w:asciiTheme="majorHAnsi" w:hAnsiTheme="majorHAnsi" w:cstheme="majorHAnsi"/>
          <w:sz w:val="20"/>
          <w:szCs w:val="20"/>
        </w:rPr>
      </w:pPr>
      <w:r w:rsidRPr="008A6BE0">
        <w:rPr>
          <w:rFonts w:asciiTheme="majorHAnsi" w:hAnsiTheme="majorHAnsi" w:cstheme="majorHAnsi"/>
          <w:sz w:val="20"/>
          <w:szCs w:val="20"/>
        </w:rPr>
        <w:t xml:space="preserve">In 2023, </w:t>
      </w:r>
      <w:r w:rsidR="00B556A1" w:rsidRPr="008A6BE0">
        <w:rPr>
          <w:rFonts w:asciiTheme="majorHAnsi" w:hAnsiTheme="majorHAnsi" w:cstheme="majorHAnsi"/>
          <w:sz w:val="20"/>
          <w:szCs w:val="20"/>
        </w:rPr>
        <w:t xml:space="preserve">29.8% of the population (around 1.9 million people) </w:t>
      </w:r>
      <w:r w:rsidRPr="008A6BE0">
        <w:rPr>
          <w:rFonts w:asciiTheme="majorHAnsi" w:hAnsiTheme="majorHAnsi" w:cstheme="majorHAnsi"/>
          <w:sz w:val="20"/>
          <w:szCs w:val="20"/>
        </w:rPr>
        <w:t>lived</w:t>
      </w:r>
      <w:r w:rsidR="00B556A1" w:rsidRPr="008A6BE0">
        <w:rPr>
          <w:rFonts w:asciiTheme="majorHAnsi" w:hAnsiTheme="majorHAnsi" w:cstheme="majorHAnsi"/>
          <w:sz w:val="20"/>
          <w:szCs w:val="20"/>
        </w:rPr>
        <w:t xml:space="preserve"> below the poverty line in 2023</w:t>
      </w:r>
      <w:r w:rsidR="00B556A1" w:rsidRPr="00B556A1">
        <w:rPr>
          <w:rStyle w:val="FootnoteReference"/>
          <w:rFonts w:asciiTheme="majorHAnsi" w:hAnsiTheme="majorHAnsi" w:cstheme="majorHAnsi"/>
          <w:sz w:val="20"/>
          <w:szCs w:val="20"/>
        </w:rPr>
        <w:footnoteReference w:id="22"/>
      </w:r>
      <w:r w:rsidRPr="008A6BE0">
        <w:rPr>
          <w:rFonts w:asciiTheme="majorHAnsi" w:hAnsiTheme="majorHAnsi" w:cstheme="majorHAnsi"/>
          <w:sz w:val="20"/>
          <w:szCs w:val="20"/>
        </w:rPr>
        <w:t xml:space="preserve">, with </w:t>
      </w:r>
      <w:r w:rsidR="00B556A1" w:rsidRPr="008A6BE0">
        <w:rPr>
          <w:rFonts w:asciiTheme="majorHAnsi" w:hAnsiTheme="majorHAnsi" w:cstheme="majorHAnsi"/>
          <w:sz w:val="20"/>
          <w:szCs w:val="20"/>
        </w:rPr>
        <w:t xml:space="preserve">the poorest </w:t>
      </w:r>
      <w:r w:rsidR="00B556A1" w:rsidRPr="008A6BE0">
        <w:rPr>
          <w:rStyle w:val="DefaultText"/>
          <w:rFonts w:asciiTheme="majorHAnsi" w:hAnsiTheme="majorHAnsi" w:cstheme="majorHAnsi"/>
          <w:color w:val="auto"/>
        </w:rPr>
        <w:t xml:space="preserve">households </w:t>
      </w:r>
      <w:r w:rsidRPr="008A6BE0">
        <w:rPr>
          <w:rStyle w:val="DefaultText"/>
          <w:rFonts w:asciiTheme="majorHAnsi" w:hAnsiTheme="majorHAnsi" w:cstheme="majorHAnsi"/>
          <w:color w:val="auto"/>
        </w:rPr>
        <w:t>spending</w:t>
      </w:r>
      <w:r w:rsidR="00B556A1" w:rsidRPr="008A6BE0">
        <w:rPr>
          <w:rStyle w:val="DefaultText"/>
          <w:rFonts w:asciiTheme="majorHAnsi" w:hAnsiTheme="majorHAnsi" w:cstheme="majorHAnsi"/>
          <w:color w:val="auto"/>
        </w:rPr>
        <w:t xml:space="preserve"> up to 70%</w:t>
      </w:r>
      <w:r w:rsidR="00B556A1" w:rsidRPr="00B556A1">
        <w:rPr>
          <w:rStyle w:val="FootnoteReference"/>
          <w:rFonts w:asciiTheme="majorHAnsi" w:hAnsiTheme="majorHAnsi" w:cstheme="majorHAnsi"/>
          <w:sz w:val="20"/>
          <w:szCs w:val="20"/>
        </w:rPr>
        <w:footnoteReference w:id="23"/>
      </w:r>
      <w:r w:rsidR="00B556A1" w:rsidRPr="008A6BE0">
        <w:rPr>
          <w:rStyle w:val="DefaultText"/>
          <w:rFonts w:asciiTheme="majorHAnsi" w:hAnsiTheme="majorHAnsi" w:cstheme="majorHAnsi"/>
          <w:color w:val="auto"/>
        </w:rPr>
        <w:t xml:space="preserve"> of their income on food</w:t>
      </w:r>
      <w:r w:rsidR="00B556A1" w:rsidRPr="008A6BE0">
        <w:rPr>
          <w:rFonts w:asciiTheme="majorHAnsi" w:hAnsiTheme="majorHAnsi" w:cstheme="majorHAnsi"/>
          <w:sz w:val="20"/>
          <w:szCs w:val="20"/>
        </w:rPr>
        <w:t xml:space="preserve">. </w:t>
      </w:r>
      <w:r w:rsidR="00553691" w:rsidRPr="008A6BE0">
        <w:rPr>
          <w:rFonts w:asciiTheme="majorHAnsi" w:hAnsiTheme="majorHAnsi" w:cstheme="majorHAnsi"/>
          <w:sz w:val="20"/>
          <w:szCs w:val="20"/>
        </w:rPr>
        <w:t xml:space="preserve">Along with those living </w:t>
      </w:r>
      <w:r w:rsidR="00553691" w:rsidRPr="008A6BE0">
        <w:rPr>
          <w:rFonts w:asciiTheme="majorHAnsi" w:hAnsiTheme="majorHAnsi" w:cstheme="majorHAnsi"/>
          <w:sz w:val="20"/>
          <w:szCs w:val="20"/>
        </w:rPr>
        <w:lastRenderedPageBreak/>
        <w:t>below the poverty line, individuals near the poverty threshold make up 40% of the population</w:t>
      </w:r>
      <w:r w:rsidR="00553691">
        <w:rPr>
          <w:rStyle w:val="FootnoteReference"/>
          <w:rFonts w:asciiTheme="majorHAnsi" w:hAnsiTheme="majorHAnsi" w:cstheme="majorHAnsi"/>
          <w:sz w:val="20"/>
          <w:szCs w:val="20"/>
        </w:rPr>
        <w:footnoteReference w:id="24"/>
      </w:r>
      <w:r w:rsidR="00553691" w:rsidRPr="008A6BE0">
        <w:rPr>
          <w:rFonts w:asciiTheme="majorHAnsi" w:hAnsiTheme="majorHAnsi" w:cstheme="majorHAnsi"/>
          <w:sz w:val="20"/>
          <w:szCs w:val="20"/>
        </w:rPr>
        <w:t xml:space="preserve">. </w:t>
      </w:r>
      <w:r w:rsidR="00B556A1" w:rsidRPr="008A6BE0">
        <w:rPr>
          <w:rFonts w:asciiTheme="majorHAnsi" w:hAnsiTheme="majorHAnsi" w:cstheme="majorHAnsi"/>
          <w:sz w:val="20"/>
          <w:szCs w:val="20"/>
        </w:rPr>
        <w:t xml:space="preserve">The Covid-19 </w:t>
      </w:r>
      <w:r w:rsidRPr="008A6BE0">
        <w:rPr>
          <w:rFonts w:asciiTheme="majorHAnsi" w:hAnsiTheme="majorHAnsi" w:cstheme="majorHAnsi"/>
          <w:sz w:val="20"/>
          <w:szCs w:val="20"/>
        </w:rPr>
        <w:t xml:space="preserve">brought poverty rates in urban and rural areas to similar levels in 2021, disproportionately affecting vulnerable urban groups. Rural areas, where people rely on small-scale subsistence farming, saw a more modest increase in poverty. </w:t>
      </w:r>
      <w:r w:rsidR="0060517B" w:rsidRPr="008A6BE0">
        <w:rPr>
          <w:rFonts w:asciiTheme="majorHAnsi" w:hAnsiTheme="majorHAnsi" w:cstheme="majorHAnsi"/>
          <w:sz w:val="20"/>
          <w:szCs w:val="20"/>
        </w:rPr>
        <w:t>Further,</w:t>
      </w:r>
      <w:r w:rsidR="00051773" w:rsidRPr="008A6BE0">
        <w:rPr>
          <w:rFonts w:asciiTheme="majorHAnsi" w:hAnsiTheme="majorHAnsi" w:cstheme="majorHAnsi"/>
          <w:sz w:val="20"/>
          <w:szCs w:val="20"/>
        </w:rPr>
        <w:t xml:space="preserve"> approximately 0.4% of the </w:t>
      </w:r>
      <w:r w:rsidR="0060517B" w:rsidRPr="008A6BE0">
        <w:rPr>
          <w:rFonts w:asciiTheme="majorHAnsi" w:hAnsiTheme="majorHAnsi" w:cstheme="majorHAnsi"/>
          <w:sz w:val="20"/>
          <w:szCs w:val="20"/>
        </w:rPr>
        <w:t xml:space="preserve">country’s </w:t>
      </w:r>
      <w:r w:rsidR="00051773" w:rsidRPr="008A6BE0">
        <w:rPr>
          <w:rFonts w:asciiTheme="majorHAnsi" w:hAnsiTheme="majorHAnsi" w:cstheme="majorHAnsi"/>
          <w:sz w:val="20"/>
          <w:szCs w:val="20"/>
        </w:rPr>
        <w:t>population are multidimensionally poor, while an additional 5.2% are vulnerable to multidimensional poverty, with health deprivations contributing to nearly two-thirds of the country's multidimensional poverty</w:t>
      </w:r>
      <w:r w:rsidR="00051773">
        <w:rPr>
          <w:rStyle w:val="FootnoteReference"/>
          <w:rFonts w:asciiTheme="majorHAnsi" w:hAnsiTheme="majorHAnsi" w:cstheme="majorHAnsi"/>
          <w:sz w:val="20"/>
          <w:szCs w:val="20"/>
        </w:rPr>
        <w:footnoteReference w:id="25"/>
      </w:r>
      <w:r w:rsidR="00051773" w:rsidRPr="008A6BE0">
        <w:rPr>
          <w:rFonts w:asciiTheme="majorHAnsi" w:hAnsiTheme="majorHAnsi" w:cstheme="majorHAnsi"/>
          <w:sz w:val="20"/>
          <w:szCs w:val="20"/>
        </w:rPr>
        <w:t>.</w:t>
      </w:r>
      <w:r w:rsidR="0060517B" w:rsidRPr="008A6BE0">
        <w:rPr>
          <w:rFonts w:asciiTheme="majorHAnsi" w:hAnsiTheme="majorHAnsi" w:cstheme="majorHAnsi"/>
          <w:sz w:val="20"/>
          <w:szCs w:val="20"/>
        </w:rPr>
        <w:t xml:space="preserve"> Both transient and chronic poverty persist, reflecting limited income growth beyond basic subsistence.</w:t>
      </w:r>
    </w:p>
    <w:p w14:paraId="4FBD1256" w14:textId="77777777" w:rsidR="008A6BE0" w:rsidRPr="008A6BE0" w:rsidRDefault="008A6BE0" w:rsidP="008A6BE0">
      <w:pPr>
        <w:pStyle w:val="ListParagraph"/>
        <w:rPr>
          <w:rFonts w:asciiTheme="majorHAnsi" w:hAnsiTheme="majorHAnsi" w:cstheme="majorHAnsi"/>
          <w:sz w:val="20"/>
          <w:szCs w:val="20"/>
        </w:rPr>
      </w:pPr>
    </w:p>
    <w:p w14:paraId="2249EDC7" w14:textId="77777777" w:rsidR="008A6BE0" w:rsidRDefault="00ED14C4">
      <w:pPr>
        <w:pStyle w:val="ListParagraph"/>
        <w:numPr>
          <w:ilvl w:val="0"/>
          <w:numId w:val="29"/>
        </w:numPr>
        <w:spacing w:before="120" w:after="120" w:line="240" w:lineRule="auto"/>
        <w:ind w:right="-29"/>
        <w:jc w:val="both"/>
        <w:rPr>
          <w:rFonts w:asciiTheme="majorHAnsi" w:hAnsiTheme="majorHAnsi" w:cstheme="majorHAnsi"/>
          <w:sz w:val="20"/>
          <w:szCs w:val="20"/>
        </w:rPr>
      </w:pPr>
      <w:r w:rsidRPr="008A6BE0">
        <w:rPr>
          <w:rFonts w:asciiTheme="majorHAnsi" w:hAnsiTheme="majorHAnsi" w:cstheme="majorHAnsi"/>
          <w:sz w:val="20"/>
          <w:szCs w:val="20"/>
        </w:rPr>
        <w:t>Gender disparities persist in Kyrgyzstan, with women facing limited economic opportunities, despite recent national efforts to address this gap. Over the past decade, the labor force participation gap, particularly among individuals aged 20 to 40</w:t>
      </w:r>
      <w:r w:rsidR="001C1C98">
        <w:rPr>
          <w:rStyle w:val="FootnoteReference"/>
          <w:rFonts w:asciiTheme="majorHAnsi" w:hAnsiTheme="majorHAnsi" w:cstheme="majorHAnsi"/>
          <w:sz w:val="20"/>
          <w:szCs w:val="20"/>
        </w:rPr>
        <w:footnoteReference w:id="26"/>
      </w:r>
      <w:r w:rsidRPr="008A6BE0">
        <w:rPr>
          <w:rFonts w:asciiTheme="majorHAnsi" w:hAnsiTheme="majorHAnsi" w:cstheme="majorHAnsi"/>
          <w:sz w:val="20"/>
          <w:szCs w:val="20"/>
        </w:rPr>
        <w:t>, has widened, and the gender pay gap has remained unchanged</w:t>
      </w:r>
      <w:r w:rsidR="002E1AE3">
        <w:rPr>
          <w:rStyle w:val="FootnoteReference"/>
          <w:rFonts w:asciiTheme="majorHAnsi" w:hAnsiTheme="majorHAnsi" w:cstheme="majorHAnsi"/>
          <w:sz w:val="20"/>
          <w:szCs w:val="20"/>
        </w:rPr>
        <w:footnoteReference w:id="27"/>
      </w:r>
      <w:r w:rsidRPr="008A6BE0">
        <w:rPr>
          <w:rFonts w:asciiTheme="majorHAnsi" w:hAnsiTheme="majorHAnsi" w:cstheme="majorHAnsi"/>
          <w:sz w:val="20"/>
          <w:szCs w:val="20"/>
        </w:rPr>
        <w:t>.</w:t>
      </w:r>
      <w:r w:rsidR="00920E51" w:rsidRPr="008A6BE0">
        <w:rPr>
          <w:rFonts w:asciiTheme="majorHAnsi" w:hAnsiTheme="majorHAnsi" w:cstheme="majorHAnsi"/>
          <w:sz w:val="20"/>
          <w:szCs w:val="20"/>
        </w:rPr>
        <w:t xml:space="preserve"> The Kyrgyz economy is heavily dominated by the informal sector, which accounts for approximately half of GDP, with women disproportionately affected, often working in low-paying, insecure jobs that limit their access to social protections and economic advancement</w:t>
      </w:r>
      <w:r w:rsidR="009C291A">
        <w:rPr>
          <w:rStyle w:val="FootnoteReference"/>
          <w:rFonts w:asciiTheme="majorHAnsi" w:hAnsiTheme="majorHAnsi" w:cstheme="majorHAnsi"/>
          <w:sz w:val="20"/>
          <w:szCs w:val="20"/>
        </w:rPr>
        <w:footnoteReference w:id="28"/>
      </w:r>
      <w:r w:rsidR="00920E51" w:rsidRPr="008A6BE0">
        <w:rPr>
          <w:rFonts w:asciiTheme="majorHAnsi" w:hAnsiTheme="majorHAnsi" w:cstheme="majorHAnsi"/>
          <w:sz w:val="20"/>
          <w:szCs w:val="20"/>
        </w:rPr>
        <w:t>.</w:t>
      </w:r>
    </w:p>
    <w:p w14:paraId="0933A178" w14:textId="77777777" w:rsidR="008A6BE0" w:rsidRPr="008A6BE0" w:rsidRDefault="008A6BE0" w:rsidP="008A6BE0">
      <w:pPr>
        <w:pStyle w:val="ListParagraph"/>
        <w:rPr>
          <w:rFonts w:asciiTheme="majorHAnsi" w:hAnsiTheme="majorHAnsi" w:cstheme="majorHAnsi"/>
          <w:sz w:val="20"/>
          <w:szCs w:val="20"/>
        </w:rPr>
      </w:pPr>
    </w:p>
    <w:p w14:paraId="3B488350" w14:textId="77777777" w:rsidR="001D6727" w:rsidRDefault="00BE33E8">
      <w:pPr>
        <w:pStyle w:val="ListParagraph"/>
        <w:numPr>
          <w:ilvl w:val="0"/>
          <w:numId w:val="29"/>
        </w:numPr>
        <w:spacing w:before="120" w:after="120" w:line="240" w:lineRule="auto"/>
        <w:ind w:right="-29"/>
        <w:jc w:val="both"/>
        <w:rPr>
          <w:rFonts w:asciiTheme="majorHAnsi" w:hAnsiTheme="majorHAnsi" w:cstheme="majorHAnsi"/>
          <w:sz w:val="20"/>
          <w:szCs w:val="20"/>
        </w:rPr>
      </w:pPr>
      <w:r w:rsidRPr="001D6727">
        <w:rPr>
          <w:rFonts w:asciiTheme="majorHAnsi" w:hAnsiTheme="majorHAnsi" w:cstheme="majorHAnsi"/>
          <w:sz w:val="20"/>
          <w:szCs w:val="20"/>
        </w:rPr>
        <w:t xml:space="preserve">Kyrgyzstan's geographic, demographic, and socio-economic conditions make it one of the most climate-vulnerable nations in Central Asia. </w:t>
      </w:r>
      <w:r w:rsidR="00DC17A8" w:rsidRPr="001D6727">
        <w:rPr>
          <w:rFonts w:asciiTheme="majorHAnsi" w:hAnsiTheme="majorHAnsi" w:cstheme="majorHAnsi"/>
          <w:sz w:val="20"/>
          <w:szCs w:val="20"/>
        </w:rPr>
        <w:t>It’s estimated that the total losses from the climate change for the Kyrgyz Republic range between 0.48 and 3.91 percent of GDP by 2050</w:t>
      </w:r>
      <w:r w:rsidR="00DC17A8">
        <w:rPr>
          <w:rStyle w:val="FootnoteReference"/>
          <w:rFonts w:asciiTheme="majorHAnsi" w:hAnsiTheme="majorHAnsi" w:cstheme="majorHAnsi"/>
          <w:sz w:val="20"/>
          <w:szCs w:val="20"/>
        </w:rPr>
        <w:footnoteReference w:id="29"/>
      </w:r>
      <w:r w:rsidR="00DC17A8" w:rsidRPr="001D6727">
        <w:rPr>
          <w:rFonts w:asciiTheme="majorHAnsi" w:hAnsiTheme="majorHAnsi" w:cstheme="majorHAnsi"/>
          <w:sz w:val="20"/>
          <w:szCs w:val="20"/>
        </w:rPr>
        <w:t xml:space="preserve">. </w:t>
      </w:r>
      <w:r w:rsidRPr="001D6727">
        <w:rPr>
          <w:rFonts w:asciiTheme="majorHAnsi" w:hAnsiTheme="majorHAnsi" w:cstheme="majorHAnsi"/>
          <w:sz w:val="20"/>
          <w:szCs w:val="20"/>
        </w:rPr>
        <w:t>Agriculture, vital for rural livelihoods</w:t>
      </w:r>
      <w:r w:rsidR="00153396" w:rsidRPr="001D6727">
        <w:rPr>
          <w:rFonts w:asciiTheme="majorHAnsi" w:hAnsiTheme="majorHAnsi" w:cstheme="majorHAnsi"/>
          <w:sz w:val="20"/>
          <w:szCs w:val="20"/>
        </w:rPr>
        <w:t xml:space="preserve">, </w:t>
      </w:r>
      <w:r w:rsidRPr="001D6727">
        <w:rPr>
          <w:rFonts w:asciiTheme="majorHAnsi" w:hAnsiTheme="majorHAnsi" w:cstheme="majorHAnsi"/>
          <w:sz w:val="20"/>
          <w:szCs w:val="20"/>
        </w:rPr>
        <w:t>income generation</w:t>
      </w:r>
      <w:r w:rsidR="00153396" w:rsidRPr="001D6727">
        <w:rPr>
          <w:rFonts w:asciiTheme="majorHAnsi" w:hAnsiTheme="majorHAnsi" w:cstheme="majorHAnsi"/>
          <w:sz w:val="20"/>
          <w:szCs w:val="20"/>
        </w:rPr>
        <w:t xml:space="preserve"> and food security</w:t>
      </w:r>
      <w:r w:rsidRPr="001D6727">
        <w:rPr>
          <w:rFonts w:asciiTheme="majorHAnsi" w:hAnsiTheme="majorHAnsi" w:cstheme="majorHAnsi"/>
          <w:sz w:val="20"/>
          <w:szCs w:val="20"/>
        </w:rPr>
        <w:t>, is highly susceptible to climate change, with risks from water scarcity, changing precipitation, and soil degradation. Hydropower, which accounts for over 90%</w:t>
      </w:r>
      <w:r>
        <w:rPr>
          <w:rStyle w:val="FootnoteReference"/>
          <w:rFonts w:asciiTheme="majorHAnsi" w:hAnsiTheme="majorHAnsi" w:cstheme="majorHAnsi"/>
          <w:sz w:val="20"/>
          <w:szCs w:val="20"/>
        </w:rPr>
        <w:footnoteReference w:id="30"/>
      </w:r>
      <w:r w:rsidRPr="001D6727">
        <w:rPr>
          <w:rFonts w:asciiTheme="majorHAnsi" w:hAnsiTheme="majorHAnsi" w:cstheme="majorHAnsi"/>
          <w:sz w:val="20"/>
          <w:szCs w:val="20"/>
        </w:rPr>
        <w:t xml:space="preserve"> of the country’s electricity</w:t>
      </w:r>
      <w:r w:rsidR="00AB28E7" w:rsidRPr="001D6727">
        <w:rPr>
          <w:rFonts w:asciiTheme="majorHAnsi" w:hAnsiTheme="majorHAnsi" w:cstheme="majorHAnsi"/>
          <w:sz w:val="20"/>
          <w:szCs w:val="20"/>
        </w:rPr>
        <w:t xml:space="preserve"> generation</w:t>
      </w:r>
      <w:r w:rsidRPr="001D6727">
        <w:rPr>
          <w:rFonts w:asciiTheme="majorHAnsi" w:hAnsiTheme="majorHAnsi" w:cstheme="majorHAnsi"/>
          <w:sz w:val="20"/>
          <w:szCs w:val="20"/>
        </w:rPr>
        <w:t xml:space="preserve">, is key to </w:t>
      </w:r>
      <w:r w:rsidR="001A571C" w:rsidRPr="001D6727">
        <w:rPr>
          <w:rFonts w:asciiTheme="majorHAnsi" w:hAnsiTheme="majorHAnsi" w:cstheme="majorHAnsi"/>
          <w:sz w:val="20"/>
          <w:szCs w:val="20"/>
        </w:rPr>
        <w:t xml:space="preserve">country’s exports potential, </w:t>
      </w:r>
      <w:r w:rsidRPr="001D6727">
        <w:rPr>
          <w:rFonts w:asciiTheme="majorHAnsi" w:hAnsiTheme="majorHAnsi" w:cstheme="majorHAnsi"/>
          <w:sz w:val="20"/>
          <w:szCs w:val="20"/>
        </w:rPr>
        <w:t>energy diversification and energy poverty reduction, but faces challenges from water availability and seasonal fluctuations</w:t>
      </w:r>
      <w:r w:rsidR="00AF393D" w:rsidRPr="001D6727">
        <w:rPr>
          <w:rFonts w:asciiTheme="majorHAnsi" w:hAnsiTheme="majorHAnsi" w:cstheme="majorHAnsi"/>
          <w:sz w:val="20"/>
          <w:szCs w:val="20"/>
        </w:rPr>
        <w:t xml:space="preserve">, as well as lack of investments towards </w:t>
      </w:r>
      <w:r w:rsidR="00ED284A" w:rsidRPr="001D6727">
        <w:rPr>
          <w:rFonts w:asciiTheme="majorHAnsi" w:hAnsiTheme="majorHAnsi" w:cstheme="majorHAnsi"/>
          <w:sz w:val="20"/>
          <w:szCs w:val="20"/>
        </w:rPr>
        <w:t xml:space="preserve">infrastructure </w:t>
      </w:r>
      <w:r w:rsidR="00AF393D" w:rsidRPr="001D6727">
        <w:rPr>
          <w:rFonts w:asciiTheme="majorHAnsi" w:hAnsiTheme="majorHAnsi" w:cstheme="majorHAnsi"/>
          <w:sz w:val="20"/>
          <w:szCs w:val="20"/>
        </w:rPr>
        <w:t>modernization</w:t>
      </w:r>
      <w:r w:rsidRPr="001D6727">
        <w:rPr>
          <w:rFonts w:asciiTheme="majorHAnsi" w:hAnsiTheme="majorHAnsi" w:cstheme="majorHAnsi"/>
          <w:sz w:val="20"/>
          <w:szCs w:val="20"/>
        </w:rPr>
        <w:t>. Tourism that builds around Kyrgyzstan’s natural beauty and is a vital source of revenue and employment opportunities, is also sensitive to climate-related factors. These interconnected sectors amplify Kyrgyzstan's exposure to climate risks and external shocks</w:t>
      </w:r>
      <w:r w:rsidR="00153396" w:rsidRPr="001D6727">
        <w:rPr>
          <w:rFonts w:asciiTheme="majorHAnsi" w:hAnsiTheme="majorHAnsi" w:cstheme="majorHAnsi"/>
          <w:sz w:val="20"/>
          <w:szCs w:val="20"/>
        </w:rPr>
        <w:t>, underscoring the need for investments in climate resilience and sustainable practices to unlock their full potential and advance the country’s broader economic and social development objectives.</w:t>
      </w:r>
    </w:p>
    <w:p w14:paraId="74CFE663" w14:textId="77777777" w:rsidR="001D6727" w:rsidRDefault="001D6727" w:rsidP="001D6727">
      <w:pPr>
        <w:pStyle w:val="ListParagraph"/>
        <w:spacing w:before="120" w:after="120" w:line="240" w:lineRule="auto"/>
        <w:ind w:left="360" w:right="-29"/>
        <w:jc w:val="both"/>
        <w:rPr>
          <w:rFonts w:asciiTheme="majorHAnsi" w:hAnsiTheme="majorHAnsi" w:cstheme="majorHAnsi"/>
          <w:sz w:val="20"/>
          <w:szCs w:val="20"/>
        </w:rPr>
      </w:pPr>
    </w:p>
    <w:p w14:paraId="5ADFDA87" w14:textId="77777777" w:rsidR="001D6727" w:rsidRDefault="00843F63">
      <w:pPr>
        <w:pStyle w:val="ListParagraph"/>
        <w:numPr>
          <w:ilvl w:val="0"/>
          <w:numId w:val="29"/>
        </w:numPr>
        <w:spacing w:before="120" w:after="120" w:line="240" w:lineRule="auto"/>
        <w:ind w:right="-29"/>
        <w:jc w:val="both"/>
        <w:rPr>
          <w:rFonts w:asciiTheme="majorHAnsi" w:hAnsiTheme="majorHAnsi" w:cstheme="majorHAnsi"/>
          <w:sz w:val="20"/>
          <w:szCs w:val="20"/>
        </w:rPr>
      </w:pPr>
      <w:r w:rsidRPr="001D6727">
        <w:rPr>
          <w:rFonts w:asciiTheme="majorHAnsi" w:hAnsiTheme="majorHAnsi" w:cstheme="majorHAnsi"/>
          <w:sz w:val="20"/>
          <w:szCs w:val="20"/>
        </w:rPr>
        <w:t>Climate and green finance are essential for Kyrgyzstan to effectively address climate change against the country’s limited government resources and capacities. Kyrgyzstan must effectively leverage global funding</w:t>
      </w:r>
      <w:r w:rsidR="000E2CA5" w:rsidRPr="001D6727">
        <w:rPr>
          <w:rFonts w:asciiTheme="majorHAnsi" w:hAnsiTheme="majorHAnsi" w:cstheme="majorHAnsi"/>
          <w:sz w:val="20"/>
          <w:szCs w:val="20"/>
        </w:rPr>
        <w:t xml:space="preserve"> and financing</w:t>
      </w:r>
      <w:r w:rsidRPr="001D6727">
        <w:rPr>
          <w:rFonts w:asciiTheme="majorHAnsi" w:hAnsiTheme="majorHAnsi" w:cstheme="majorHAnsi"/>
          <w:sz w:val="20"/>
          <w:szCs w:val="20"/>
        </w:rPr>
        <w:t xml:space="preserve"> sources, which can supplement ongoing and planned national efforts, with the private sector playing a crucial role in catalyzing investments in critical sectors.</w:t>
      </w:r>
    </w:p>
    <w:p w14:paraId="58CF4AC7" w14:textId="77777777" w:rsidR="001D6727" w:rsidRPr="001D6727" w:rsidRDefault="001D6727" w:rsidP="001D6727">
      <w:pPr>
        <w:pStyle w:val="ListParagraph"/>
        <w:rPr>
          <w:rFonts w:asciiTheme="majorHAnsi" w:hAnsiTheme="majorHAnsi" w:cstheme="majorHAnsi"/>
          <w:sz w:val="20"/>
          <w:szCs w:val="20"/>
        </w:rPr>
      </w:pPr>
    </w:p>
    <w:p w14:paraId="23AC6065" w14:textId="04F12DAC" w:rsidR="0095284B" w:rsidRPr="0095284B" w:rsidRDefault="0095284B" w:rsidP="0095284B">
      <w:pPr>
        <w:pStyle w:val="ListParagraph"/>
        <w:spacing w:before="120" w:after="120" w:line="240" w:lineRule="auto"/>
        <w:ind w:left="360" w:right="-29"/>
        <w:jc w:val="both"/>
        <w:rPr>
          <w:b/>
          <w:bCs/>
          <w:sz w:val="20"/>
          <w:szCs w:val="20"/>
        </w:rPr>
      </w:pPr>
      <w:r w:rsidRPr="0095284B">
        <w:rPr>
          <w:b/>
          <w:bCs/>
          <w:sz w:val="20"/>
          <w:szCs w:val="20"/>
        </w:rPr>
        <w:t>Climate change context</w:t>
      </w:r>
    </w:p>
    <w:p w14:paraId="26FAD94F" w14:textId="77777777" w:rsidR="0095284B" w:rsidRPr="0095284B" w:rsidRDefault="0095284B" w:rsidP="0095284B">
      <w:pPr>
        <w:pStyle w:val="ListParagraph"/>
        <w:rPr>
          <w:rFonts w:asciiTheme="majorHAnsi" w:hAnsiTheme="majorHAnsi" w:cstheme="majorHAnsi"/>
          <w:sz w:val="20"/>
          <w:szCs w:val="20"/>
        </w:rPr>
      </w:pPr>
    </w:p>
    <w:p w14:paraId="641B636D" w14:textId="55727982" w:rsidR="001D6727" w:rsidRDefault="009949DA">
      <w:pPr>
        <w:pStyle w:val="ListParagraph"/>
        <w:numPr>
          <w:ilvl w:val="0"/>
          <w:numId w:val="29"/>
        </w:numPr>
        <w:spacing w:before="120" w:after="120" w:line="240" w:lineRule="auto"/>
        <w:ind w:right="-29"/>
        <w:jc w:val="both"/>
        <w:rPr>
          <w:sz w:val="20"/>
          <w:szCs w:val="20"/>
        </w:rPr>
      </w:pPr>
      <w:r w:rsidRPr="001D6727">
        <w:rPr>
          <w:rFonts w:asciiTheme="majorHAnsi" w:hAnsiTheme="majorHAnsi" w:cstheme="majorHAnsi"/>
          <w:sz w:val="20"/>
          <w:szCs w:val="20"/>
        </w:rPr>
        <w:t>Kyrgyzstan</w:t>
      </w:r>
      <w:r w:rsidR="00054F39" w:rsidRPr="001D6727">
        <w:rPr>
          <w:rFonts w:asciiTheme="majorHAnsi" w:hAnsiTheme="majorHAnsi" w:cstheme="majorHAnsi"/>
          <w:sz w:val="20"/>
          <w:szCs w:val="20"/>
        </w:rPr>
        <w:t xml:space="preserve"> faces a range of </w:t>
      </w:r>
      <w:r w:rsidR="00054F39" w:rsidRPr="001D6727">
        <w:rPr>
          <w:rFonts w:asciiTheme="majorHAnsi" w:hAnsiTheme="majorHAnsi" w:cstheme="majorHAnsi"/>
          <w:b/>
          <w:bCs/>
          <w:sz w:val="20"/>
          <w:szCs w:val="20"/>
        </w:rPr>
        <w:t>climate risks,</w:t>
      </w:r>
      <w:r w:rsidR="00054F39" w:rsidRPr="001D6727">
        <w:rPr>
          <w:rFonts w:asciiTheme="majorHAnsi" w:hAnsiTheme="majorHAnsi" w:cstheme="majorHAnsi"/>
          <w:sz w:val="20"/>
          <w:szCs w:val="20"/>
        </w:rPr>
        <w:t xml:space="preserve"> including both rapid-onset and long-term changes in key climate parameters, with significant impacts on communities, livelihoods, and the economy, many of which are already being felt.</w:t>
      </w:r>
      <w:r w:rsidRPr="001D6727">
        <w:rPr>
          <w:rFonts w:asciiTheme="majorHAnsi" w:hAnsiTheme="majorHAnsi" w:cstheme="majorHAnsi"/>
          <w:sz w:val="20"/>
          <w:szCs w:val="20"/>
        </w:rPr>
        <w:t xml:space="preserve"> The key climate stressor for Kyrgyzstan include temperature rise and glacier retreat (especially in the Tien Shan and Pamir mountains), while changes in precipitation patterns are observed at the sub-national level</w:t>
      </w:r>
      <w:r w:rsidR="00E20D72" w:rsidRPr="00E20D72">
        <w:t xml:space="preserve"> </w:t>
      </w:r>
      <w:r w:rsidR="00E20D72" w:rsidRPr="001D6727">
        <w:rPr>
          <w:rFonts w:asciiTheme="majorHAnsi" w:hAnsiTheme="majorHAnsi" w:cstheme="majorHAnsi"/>
          <w:sz w:val="20"/>
          <w:szCs w:val="20"/>
        </w:rPr>
        <w:t xml:space="preserve">in the central, </w:t>
      </w:r>
      <w:r w:rsidR="00BE63F7" w:rsidRPr="001D6727">
        <w:rPr>
          <w:rFonts w:asciiTheme="majorHAnsi" w:hAnsiTheme="majorHAnsi" w:cstheme="majorHAnsi"/>
          <w:sz w:val="20"/>
          <w:szCs w:val="20"/>
        </w:rPr>
        <w:t>northwestern,</w:t>
      </w:r>
      <w:r w:rsidR="00E20D72" w:rsidRPr="001D6727">
        <w:rPr>
          <w:rFonts w:asciiTheme="majorHAnsi" w:hAnsiTheme="majorHAnsi" w:cstheme="majorHAnsi"/>
          <w:sz w:val="20"/>
          <w:szCs w:val="20"/>
        </w:rPr>
        <w:t xml:space="preserve"> and eastern parts of the country</w:t>
      </w:r>
      <w:r w:rsidR="00006349" w:rsidRPr="001D6727">
        <w:rPr>
          <w:rFonts w:asciiTheme="majorHAnsi" w:hAnsiTheme="majorHAnsi" w:cstheme="majorHAnsi"/>
          <w:sz w:val="20"/>
          <w:szCs w:val="20"/>
        </w:rPr>
        <w:t>, affecting the region's agricultural productivity and water availability</w:t>
      </w:r>
      <w:r w:rsidRPr="001D6727">
        <w:rPr>
          <w:rFonts w:asciiTheme="majorHAnsi" w:hAnsiTheme="majorHAnsi" w:cstheme="majorHAnsi"/>
          <w:sz w:val="20"/>
          <w:szCs w:val="20"/>
        </w:rPr>
        <w:t>. The</w:t>
      </w:r>
      <w:r w:rsidRPr="001D6727">
        <w:rPr>
          <w:sz w:val="20"/>
          <w:szCs w:val="20"/>
        </w:rPr>
        <w:t xml:space="preserve"> country is projected to experience significant temperature rises, potentially reaching 5.3°C by the 2090s under the highest emissions scenario (RCP8.5), significantly surpassing the global average. This warming will be most pronounced in maximum and minimum temperatures, exacerbating pressure on human life, livelihoods, and ecosystems. Peak summer temperatures may regularly exceed 40°C, especially in lowland regions like the Fergana Valley, posing serious heat stress risks</w:t>
      </w:r>
      <w:r>
        <w:rPr>
          <w:rStyle w:val="FootnoteReference"/>
          <w:sz w:val="20"/>
          <w:szCs w:val="20"/>
        </w:rPr>
        <w:footnoteReference w:id="31"/>
      </w:r>
      <w:r w:rsidRPr="001D6727">
        <w:rPr>
          <w:sz w:val="20"/>
          <w:szCs w:val="20"/>
        </w:rPr>
        <w:t>.</w:t>
      </w:r>
    </w:p>
    <w:p w14:paraId="09C226AA" w14:textId="77777777" w:rsidR="001D6727" w:rsidRPr="001D6727" w:rsidRDefault="001D6727" w:rsidP="001D6727">
      <w:pPr>
        <w:pStyle w:val="ListParagraph"/>
        <w:rPr>
          <w:sz w:val="20"/>
          <w:szCs w:val="20"/>
        </w:rPr>
      </w:pPr>
    </w:p>
    <w:p w14:paraId="68910F25" w14:textId="77777777" w:rsidR="001D6727" w:rsidRPr="001D6727" w:rsidRDefault="003A7EE0">
      <w:pPr>
        <w:pStyle w:val="ListParagraph"/>
        <w:numPr>
          <w:ilvl w:val="0"/>
          <w:numId w:val="29"/>
        </w:numPr>
        <w:spacing w:before="120" w:after="120" w:line="240" w:lineRule="auto"/>
        <w:ind w:right="-29"/>
        <w:jc w:val="both"/>
        <w:rPr>
          <w:rFonts w:asciiTheme="majorHAnsi" w:hAnsiTheme="majorHAnsi" w:cstheme="majorHAnsi"/>
          <w:sz w:val="20"/>
          <w:szCs w:val="20"/>
        </w:rPr>
      </w:pPr>
      <w:r w:rsidRPr="001D6727">
        <w:rPr>
          <w:sz w:val="20"/>
          <w:szCs w:val="20"/>
        </w:rPr>
        <w:t xml:space="preserve">The combination of heat and increased droughts is expected to expand arid land and negatively impact agricultural yields. </w:t>
      </w:r>
      <w:r w:rsidR="00892825" w:rsidRPr="001D6727">
        <w:rPr>
          <w:sz w:val="20"/>
          <w:szCs w:val="20"/>
        </w:rPr>
        <w:t xml:space="preserve">Kyrgyzstan is projected to face two types of droughts: meteorological </w:t>
      </w:r>
      <w:r w:rsidR="00892825" w:rsidRPr="001D6727">
        <w:rPr>
          <w:sz w:val="20"/>
          <w:szCs w:val="20"/>
        </w:rPr>
        <w:lastRenderedPageBreak/>
        <w:t xml:space="preserve">droughts, typically caused by a precipitation deficit, and hydrological droughts, which result from a shortage in surface and subsurface water flow, often linked to broader regional river basin conditions. </w:t>
      </w:r>
      <w:r w:rsidRPr="001D6727">
        <w:rPr>
          <w:sz w:val="20"/>
          <w:szCs w:val="20"/>
        </w:rPr>
        <w:t xml:space="preserve">Higher altitudes may also see shifts in ecosystems, with species losing viable habitats. Long-term, the water sector will face significant challenges, with the loss of glaciers disrupting regular water flows and drying up certain watersheds. </w:t>
      </w:r>
      <w:r w:rsidR="00336729" w:rsidRPr="001D6727">
        <w:rPr>
          <w:sz w:val="20"/>
          <w:szCs w:val="20"/>
        </w:rPr>
        <w:t xml:space="preserve">As glaciers continue to melt due to rising temperatures, more intense flooding events in the wintertime and reduced water flow in the summer are expected. </w:t>
      </w:r>
      <w:r w:rsidR="004F4A99" w:rsidRPr="001D6727">
        <w:rPr>
          <w:sz w:val="20"/>
          <w:szCs w:val="20"/>
        </w:rPr>
        <w:t xml:space="preserve">Glaciers contribute significantly to the water flow of Central Asia's major rivers, and their loss poses severe consequences for the future of the Kyrgyz Republic. </w:t>
      </w:r>
      <w:r w:rsidR="005F05FF" w:rsidRPr="001D6727">
        <w:rPr>
          <w:sz w:val="20"/>
          <w:szCs w:val="20"/>
        </w:rPr>
        <w:t>Overall, glacier melt is expected to increase water supply until 2025, after which water availability is projected to decline sharply by approximately 20% by 2050</w:t>
      </w:r>
      <w:r w:rsidR="005F05FF">
        <w:rPr>
          <w:rStyle w:val="FootnoteReference"/>
          <w:sz w:val="20"/>
          <w:szCs w:val="20"/>
        </w:rPr>
        <w:footnoteReference w:id="32"/>
      </w:r>
      <w:r w:rsidR="005F05FF" w:rsidRPr="001D6727">
        <w:rPr>
          <w:sz w:val="20"/>
          <w:szCs w:val="20"/>
        </w:rPr>
        <w:t>.</w:t>
      </w:r>
    </w:p>
    <w:p w14:paraId="11BE712C" w14:textId="77777777" w:rsidR="001D6727" w:rsidRPr="001D6727" w:rsidRDefault="001D6727" w:rsidP="001D6727">
      <w:pPr>
        <w:pStyle w:val="ListParagraph"/>
        <w:spacing w:before="120" w:after="120" w:line="240" w:lineRule="auto"/>
        <w:ind w:left="360" w:right="-29"/>
        <w:jc w:val="both"/>
        <w:rPr>
          <w:rFonts w:asciiTheme="majorHAnsi" w:hAnsiTheme="majorHAnsi" w:cstheme="majorHAnsi"/>
          <w:sz w:val="20"/>
          <w:szCs w:val="20"/>
        </w:rPr>
      </w:pPr>
    </w:p>
    <w:p w14:paraId="2B5E3F7A" w14:textId="3F9288DE" w:rsidR="001D6727" w:rsidRPr="001D6727" w:rsidRDefault="003A7EE0">
      <w:pPr>
        <w:pStyle w:val="ListParagraph"/>
        <w:numPr>
          <w:ilvl w:val="0"/>
          <w:numId w:val="29"/>
        </w:numPr>
        <w:spacing w:before="120" w:after="120" w:line="240" w:lineRule="auto"/>
        <w:ind w:right="-29"/>
        <w:jc w:val="both"/>
        <w:rPr>
          <w:rFonts w:asciiTheme="majorHAnsi" w:hAnsiTheme="majorHAnsi" w:cstheme="majorHAnsi"/>
          <w:sz w:val="20"/>
          <w:szCs w:val="20"/>
        </w:rPr>
      </w:pPr>
      <w:r w:rsidRPr="001D6727">
        <w:rPr>
          <w:sz w:val="20"/>
          <w:szCs w:val="20"/>
        </w:rPr>
        <w:t>Additionally, landslides and the hazards associated with glacial lake outbursts are expected to intensify,</w:t>
      </w:r>
      <w:r w:rsidR="00A0453F" w:rsidRPr="001D6727">
        <w:rPr>
          <w:sz w:val="20"/>
          <w:szCs w:val="20"/>
        </w:rPr>
        <w:t xml:space="preserve"> </w:t>
      </w:r>
      <w:r w:rsidR="00A0453F" w:rsidRPr="001D6727">
        <w:rPr>
          <w:rFonts w:asciiTheme="majorHAnsi" w:hAnsiTheme="majorHAnsi" w:cstheme="majorHAnsi"/>
          <w:sz w:val="20"/>
          <w:szCs w:val="20"/>
        </w:rPr>
        <w:t>all of which contribute to heightened disaster risks,</w:t>
      </w:r>
      <w:r w:rsidRPr="001D6727">
        <w:rPr>
          <w:sz w:val="20"/>
          <w:szCs w:val="20"/>
        </w:rPr>
        <w:t xml:space="preserve"> threatening lives and livelihoods</w:t>
      </w:r>
      <w:r w:rsidR="00313E34" w:rsidRPr="003A7EE0">
        <w:rPr>
          <w:rStyle w:val="FootnoteReference"/>
          <w:rFonts w:asciiTheme="majorHAnsi" w:hAnsiTheme="majorHAnsi" w:cstheme="majorHAnsi"/>
          <w:sz w:val="20"/>
          <w:szCs w:val="20"/>
        </w:rPr>
        <w:footnoteReference w:id="33"/>
      </w:r>
      <w:r w:rsidR="00054F39" w:rsidRPr="001D6727">
        <w:rPr>
          <w:rFonts w:asciiTheme="majorHAnsi" w:hAnsiTheme="majorHAnsi" w:cstheme="majorHAnsi"/>
          <w:sz w:val="20"/>
          <w:szCs w:val="20"/>
        </w:rPr>
        <w:t>.</w:t>
      </w:r>
      <w:r w:rsidR="00721A75" w:rsidRPr="001D6727">
        <w:rPr>
          <w:rFonts w:asciiTheme="majorHAnsi" w:hAnsiTheme="majorHAnsi" w:cstheme="majorHAnsi"/>
          <w:sz w:val="20"/>
          <w:szCs w:val="20"/>
        </w:rPr>
        <w:t xml:space="preserve"> </w:t>
      </w:r>
      <w:r w:rsidR="001D6727" w:rsidRPr="001D6727">
        <w:rPr>
          <w:rFonts w:asciiTheme="majorHAnsi" w:hAnsiTheme="majorHAnsi" w:cstheme="majorHAnsi"/>
          <w:sz w:val="20"/>
          <w:szCs w:val="20"/>
        </w:rPr>
        <w:t>Beyond that</w:t>
      </w:r>
      <w:r w:rsidR="003E3678" w:rsidRPr="001D6727">
        <w:rPr>
          <w:rFonts w:asciiTheme="majorHAnsi" w:hAnsiTheme="majorHAnsi" w:cstheme="majorHAnsi"/>
          <w:sz w:val="20"/>
          <w:szCs w:val="20"/>
        </w:rPr>
        <w:t xml:space="preserve">, these climatic shifts have adverse health effects, exacerbating nutritional deficiencies, heat-related illnesses, and the spread of infectious diseases, alongside negative impacts on mental health. </w:t>
      </w:r>
      <w:r w:rsidR="006055EA" w:rsidRPr="001D6727">
        <w:rPr>
          <w:rFonts w:asciiTheme="majorHAnsi" w:hAnsiTheme="majorHAnsi" w:cstheme="majorHAnsi"/>
          <w:sz w:val="20"/>
          <w:szCs w:val="20"/>
        </w:rPr>
        <w:t>The World Bank’s data suggests that natural hazards incur major economic losses between 0.5 and 1.3% of annual GDP</w:t>
      </w:r>
      <w:r w:rsidR="006055EA">
        <w:rPr>
          <w:rStyle w:val="FootnoteReference"/>
          <w:rFonts w:asciiTheme="majorHAnsi" w:hAnsiTheme="majorHAnsi" w:cstheme="majorHAnsi"/>
          <w:sz w:val="20"/>
          <w:szCs w:val="20"/>
        </w:rPr>
        <w:footnoteReference w:id="34"/>
      </w:r>
      <w:r w:rsidR="006055EA" w:rsidRPr="001D6727">
        <w:rPr>
          <w:rFonts w:asciiTheme="majorHAnsi" w:hAnsiTheme="majorHAnsi" w:cstheme="majorHAnsi"/>
          <w:sz w:val="20"/>
          <w:szCs w:val="20"/>
        </w:rPr>
        <w:t xml:space="preserve">. </w:t>
      </w:r>
      <w:r w:rsidR="009B4D18" w:rsidRPr="001D6727">
        <w:rPr>
          <w:sz w:val="20"/>
          <w:szCs w:val="20"/>
        </w:rPr>
        <w:t>Over the past 12 years, climate-induced natural disasters have risen 1.5 times, causing significant economic and social impacts. In 2024, the frequency and scale of mudflows increased due to heavy rainfall, with a state of emergency declared in Osh city in July due to mudslides and landslides. Property damage was 30% higher than the annual total in 2023</w:t>
      </w:r>
      <w:r w:rsidR="00721A75" w:rsidRPr="00553691">
        <w:rPr>
          <w:rStyle w:val="FootnoteReference"/>
          <w:rFonts w:asciiTheme="majorHAnsi" w:hAnsiTheme="majorHAnsi" w:cstheme="majorHAnsi"/>
          <w:sz w:val="20"/>
          <w:szCs w:val="20"/>
        </w:rPr>
        <w:footnoteReference w:id="35"/>
      </w:r>
      <w:r w:rsidR="00B83060" w:rsidRPr="001D6727">
        <w:rPr>
          <w:sz w:val="20"/>
          <w:szCs w:val="20"/>
        </w:rPr>
        <w:t xml:space="preserve">. </w:t>
      </w:r>
    </w:p>
    <w:p w14:paraId="59B5F37A" w14:textId="77777777" w:rsidR="001D6727" w:rsidRPr="001D6727" w:rsidRDefault="001D6727" w:rsidP="001D6727">
      <w:pPr>
        <w:pStyle w:val="ListParagraph"/>
        <w:rPr>
          <w:rFonts w:asciiTheme="majorHAnsi" w:hAnsiTheme="majorHAnsi" w:cstheme="majorHAnsi"/>
          <w:sz w:val="20"/>
          <w:szCs w:val="20"/>
        </w:rPr>
      </w:pPr>
    </w:p>
    <w:p w14:paraId="541F39AF" w14:textId="4F48C1DF" w:rsidR="0095284B" w:rsidRDefault="009059A7">
      <w:pPr>
        <w:pStyle w:val="ListParagraph"/>
        <w:numPr>
          <w:ilvl w:val="0"/>
          <w:numId w:val="29"/>
        </w:numPr>
        <w:spacing w:before="120" w:after="120" w:line="240" w:lineRule="auto"/>
        <w:ind w:right="-29"/>
        <w:jc w:val="both"/>
        <w:rPr>
          <w:rFonts w:asciiTheme="majorHAnsi" w:hAnsiTheme="majorHAnsi" w:cstheme="majorBidi"/>
          <w:sz w:val="20"/>
          <w:szCs w:val="20"/>
        </w:rPr>
      </w:pPr>
      <w:r w:rsidRPr="6A6ABD26">
        <w:rPr>
          <w:rFonts w:asciiTheme="majorHAnsi" w:hAnsiTheme="majorHAnsi" w:cstheme="majorBidi"/>
          <w:sz w:val="20"/>
          <w:szCs w:val="20"/>
        </w:rPr>
        <w:t>According to NDC 2021, the most climate vulnerable sectors include water resources and agriculture, energy, emergencies, public health, forest and biodiversity</w:t>
      </w:r>
      <w:r w:rsidRPr="6A6ABD26">
        <w:rPr>
          <w:rStyle w:val="FootnoteReference"/>
          <w:rFonts w:asciiTheme="majorHAnsi" w:hAnsiTheme="majorHAnsi" w:cstheme="majorBidi"/>
          <w:sz w:val="20"/>
          <w:szCs w:val="20"/>
        </w:rPr>
        <w:footnoteReference w:id="36"/>
      </w:r>
      <w:r w:rsidRPr="6A6ABD26">
        <w:rPr>
          <w:rFonts w:asciiTheme="majorHAnsi" w:hAnsiTheme="majorHAnsi" w:cstheme="majorBidi"/>
          <w:sz w:val="20"/>
          <w:szCs w:val="20"/>
        </w:rPr>
        <w:t>.</w:t>
      </w:r>
      <w:r w:rsidR="570449DF" w:rsidRPr="6A6ABD26">
        <w:rPr>
          <w:rFonts w:asciiTheme="majorHAnsi" w:hAnsiTheme="majorHAnsi" w:cstheme="majorBidi"/>
          <w:sz w:val="20"/>
          <w:szCs w:val="20"/>
        </w:rPr>
        <w:t xml:space="preserve"> </w:t>
      </w:r>
      <w:r w:rsidR="00006349" w:rsidRPr="6A6ABD26">
        <w:rPr>
          <w:rFonts w:asciiTheme="majorHAnsi" w:hAnsiTheme="majorHAnsi" w:cstheme="majorBidi"/>
          <w:sz w:val="20"/>
          <w:szCs w:val="20"/>
        </w:rPr>
        <w:t>Water resources, a vital asset in the mountainous country</w:t>
      </w:r>
      <w:r w:rsidR="00A30764" w:rsidRPr="6A6ABD26">
        <w:rPr>
          <w:rFonts w:asciiTheme="majorHAnsi" w:hAnsiTheme="majorHAnsi" w:cstheme="majorBidi"/>
          <w:sz w:val="20"/>
          <w:szCs w:val="20"/>
        </w:rPr>
        <w:t xml:space="preserve"> relying on its glaciers and snowpack for the majority of its water</w:t>
      </w:r>
      <w:r w:rsidR="00006349" w:rsidRPr="6A6ABD26">
        <w:rPr>
          <w:rFonts w:asciiTheme="majorHAnsi" w:hAnsiTheme="majorHAnsi" w:cstheme="majorBidi"/>
          <w:sz w:val="20"/>
          <w:szCs w:val="20"/>
        </w:rPr>
        <w:t>, are threatened by climate change, as rising temperatures accelerate glacier melt, jeopardizing the country’s water security</w:t>
      </w:r>
      <w:r w:rsidR="00A30764" w:rsidRPr="6A6ABD26">
        <w:rPr>
          <w:rFonts w:asciiTheme="majorHAnsi" w:hAnsiTheme="majorHAnsi" w:cstheme="majorBidi"/>
          <w:sz w:val="20"/>
          <w:szCs w:val="20"/>
        </w:rPr>
        <w:t xml:space="preserve"> – both for domestic consumption and agricultural irrigation</w:t>
      </w:r>
      <w:r w:rsidR="00006349" w:rsidRPr="6A6ABD26">
        <w:rPr>
          <w:rFonts w:asciiTheme="majorHAnsi" w:hAnsiTheme="majorHAnsi" w:cstheme="majorBidi"/>
          <w:sz w:val="20"/>
          <w:szCs w:val="20"/>
        </w:rPr>
        <w:t>.</w:t>
      </w:r>
      <w:r w:rsidR="00A30764" w:rsidRPr="00A30764">
        <w:t xml:space="preserve"> </w:t>
      </w:r>
      <w:r w:rsidR="00A30764">
        <w:t xml:space="preserve">In addition, </w:t>
      </w:r>
      <w:r w:rsidR="00A30764" w:rsidRPr="6A6ABD26">
        <w:rPr>
          <w:rFonts w:asciiTheme="majorHAnsi" w:hAnsiTheme="majorHAnsi" w:cstheme="majorBidi"/>
          <w:sz w:val="20"/>
          <w:szCs w:val="20"/>
        </w:rPr>
        <w:t>changing precipitation patterns may lead to water shortages in some areas and flooding in others, making water management increasingly challenging.</w:t>
      </w:r>
    </w:p>
    <w:p w14:paraId="4CF4C7E3" w14:textId="77777777" w:rsidR="0095284B" w:rsidRPr="0095284B" w:rsidRDefault="0095284B" w:rsidP="0095284B">
      <w:pPr>
        <w:pStyle w:val="ListParagraph"/>
        <w:rPr>
          <w:rFonts w:asciiTheme="majorHAnsi" w:hAnsiTheme="majorHAnsi" w:cstheme="majorHAnsi"/>
          <w:sz w:val="20"/>
          <w:szCs w:val="20"/>
        </w:rPr>
      </w:pPr>
    </w:p>
    <w:p w14:paraId="637818A9" w14:textId="77777777" w:rsidR="008B1ACA" w:rsidRDefault="00006349">
      <w:pPr>
        <w:pStyle w:val="ListParagraph"/>
        <w:numPr>
          <w:ilvl w:val="0"/>
          <w:numId w:val="29"/>
        </w:numPr>
        <w:spacing w:before="120" w:after="120" w:line="240" w:lineRule="auto"/>
        <w:ind w:right="-29"/>
        <w:jc w:val="both"/>
        <w:rPr>
          <w:rFonts w:asciiTheme="majorHAnsi" w:hAnsiTheme="majorHAnsi" w:cstheme="majorHAnsi"/>
          <w:sz w:val="20"/>
          <w:szCs w:val="20"/>
        </w:rPr>
      </w:pPr>
      <w:r w:rsidRPr="008B1ACA">
        <w:rPr>
          <w:rFonts w:asciiTheme="majorHAnsi" w:hAnsiTheme="majorHAnsi" w:cstheme="majorHAnsi"/>
          <w:sz w:val="20"/>
          <w:szCs w:val="20"/>
        </w:rPr>
        <w:t>Agriculture, a key sector of Kyrgyzstan's economy, is highly vulnerable to changing rainfall patterns, with more frequent droughts reducing crop yields, especially in rain-fed areas.</w:t>
      </w:r>
      <w:r w:rsidR="008E4C14" w:rsidRPr="008B1ACA">
        <w:rPr>
          <w:rFonts w:asciiTheme="majorHAnsi" w:hAnsiTheme="majorHAnsi" w:cstheme="majorHAnsi"/>
          <w:sz w:val="20"/>
          <w:szCs w:val="20"/>
        </w:rPr>
        <w:t xml:space="preserve"> Changing precipitation patterns and increasing temperatures result in less predictable growing seasons, with reduced yields for key crops such as wheat, barley, and potatoes. The vulnerability of livestock farming is also increasing, as feed and water availability fluctuate.</w:t>
      </w:r>
      <w:r w:rsidRPr="008B1ACA">
        <w:rPr>
          <w:rFonts w:asciiTheme="majorHAnsi" w:hAnsiTheme="majorHAnsi" w:cstheme="majorHAnsi"/>
          <w:sz w:val="20"/>
          <w:szCs w:val="20"/>
        </w:rPr>
        <w:t xml:space="preserve"> Extreme weather events like floods, driven by intense rainfall and glacier melt, cause soil erosion and damage to crops, infrastructure, and housing.</w:t>
      </w:r>
      <w:r w:rsidR="008E4C14" w:rsidRPr="008B1ACA">
        <w:rPr>
          <w:rFonts w:asciiTheme="majorHAnsi" w:hAnsiTheme="majorHAnsi" w:cstheme="majorHAnsi"/>
          <w:sz w:val="20"/>
          <w:szCs w:val="20"/>
        </w:rPr>
        <w:t xml:space="preserve"> </w:t>
      </w:r>
      <w:r w:rsidR="00222191" w:rsidRPr="008B1ACA">
        <w:rPr>
          <w:rFonts w:asciiTheme="majorHAnsi" w:hAnsiTheme="majorHAnsi" w:cstheme="majorHAnsi"/>
          <w:sz w:val="20"/>
          <w:szCs w:val="20"/>
        </w:rPr>
        <w:t>In Kyrgyzstan, climate-related deaths from food scarcity could reach approximately 50.1 per million people by 2050</w:t>
      </w:r>
      <w:r w:rsidR="00222191">
        <w:rPr>
          <w:rStyle w:val="FootnoteReference"/>
          <w:rFonts w:asciiTheme="majorHAnsi" w:hAnsiTheme="majorHAnsi" w:cstheme="majorHAnsi"/>
          <w:sz w:val="20"/>
          <w:szCs w:val="20"/>
        </w:rPr>
        <w:footnoteReference w:id="37"/>
      </w:r>
      <w:r w:rsidR="00222191" w:rsidRPr="008B1ACA">
        <w:rPr>
          <w:rFonts w:asciiTheme="majorHAnsi" w:hAnsiTheme="majorHAnsi" w:cstheme="majorHAnsi"/>
          <w:sz w:val="20"/>
          <w:szCs w:val="20"/>
        </w:rPr>
        <w:t>.</w:t>
      </w:r>
    </w:p>
    <w:p w14:paraId="1156F51F" w14:textId="77777777" w:rsidR="008B1ACA" w:rsidRPr="008B1ACA" w:rsidRDefault="008B1ACA" w:rsidP="008B1ACA">
      <w:pPr>
        <w:pStyle w:val="ListParagraph"/>
        <w:rPr>
          <w:rFonts w:asciiTheme="majorHAnsi" w:hAnsiTheme="majorHAnsi" w:cstheme="majorHAnsi"/>
          <w:sz w:val="20"/>
          <w:szCs w:val="20"/>
        </w:rPr>
      </w:pPr>
    </w:p>
    <w:p w14:paraId="0E81E60C" w14:textId="77777777" w:rsidR="008B1ACA" w:rsidRDefault="009B6610">
      <w:pPr>
        <w:pStyle w:val="ListParagraph"/>
        <w:numPr>
          <w:ilvl w:val="0"/>
          <w:numId w:val="29"/>
        </w:numPr>
        <w:spacing w:before="120" w:after="120" w:line="240" w:lineRule="auto"/>
        <w:ind w:right="-29"/>
        <w:jc w:val="both"/>
        <w:rPr>
          <w:rFonts w:asciiTheme="majorHAnsi" w:hAnsiTheme="majorHAnsi" w:cstheme="majorHAnsi"/>
          <w:sz w:val="20"/>
          <w:szCs w:val="20"/>
        </w:rPr>
      </w:pPr>
      <w:r w:rsidRPr="008B1ACA">
        <w:rPr>
          <w:rFonts w:asciiTheme="majorHAnsi" w:hAnsiTheme="majorHAnsi" w:cstheme="majorHAnsi"/>
          <w:sz w:val="20"/>
          <w:szCs w:val="20"/>
        </w:rPr>
        <w:t>Between 2000 and 2013, an estimated 8% of grasslands and 10% of forested areas in the Central Asian region were converted to shrubland</w:t>
      </w:r>
      <w:r>
        <w:rPr>
          <w:rStyle w:val="FootnoteReference"/>
          <w:rFonts w:asciiTheme="majorHAnsi" w:hAnsiTheme="majorHAnsi" w:cstheme="majorHAnsi"/>
          <w:sz w:val="20"/>
          <w:szCs w:val="20"/>
        </w:rPr>
        <w:footnoteReference w:id="38"/>
      </w:r>
      <w:r w:rsidRPr="008B1ACA">
        <w:rPr>
          <w:rFonts w:asciiTheme="majorHAnsi" w:hAnsiTheme="majorHAnsi" w:cstheme="majorHAnsi"/>
          <w:sz w:val="20"/>
          <w:szCs w:val="20"/>
        </w:rPr>
        <w:t xml:space="preserve">. </w:t>
      </w:r>
      <w:r w:rsidR="00064B27" w:rsidRPr="008B1ACA">
        <w:rPr>
          <w:rFonts w:asciiTheme="majorHAnsi" w:hAnsiTheme="majorHAnsi" w:cstheme="majorHAnsi"/>
          <w:sz w:val="20"/>
          <w:szCs w:val="20"/>
        </w:rPr>
        <w:t xml:space="preserve">Forested areas, including tree species like </w:t>
      </w:r>
      <w:r w:rsidR="00FC6ED0" w:rsidRPr="008B1ACA">
        <w:rPr>
          <w:rFonts w:asciiTheme="majorHAnsi" w:hAnsiTheme="majorHAnsi" w:cstheme="majorHAnsi"/>
          <w:sz w:val="20"/>
          <w:szCs w:val="20"/>
        </w:rPr>
        <w:t>j</w:t>
      </w:r>
      <w:r w:rsidR="00064B27" w:rsidRPr="008B1ACA">
        <w:rPr>
          <w:rFonts w:asciiTheme="majorHAnsi" w:hAnsiTheme="majorHAnsi" w:cstheme="majorHAnsi"/>
          <w:sz w:val="20"/>
          <w:szCs w:val="20"/>
        </w:rPr>
        <w:t>uniper, have been documented struggling due to increasing aridity</w:t>
      </w:r>
      <w:r w:rsidR="00064B27">
        <w:rPr>
          <w:rStyle w:val="FootnoteReference"/>
          <w:rFonts w:asciiTheme="majorHAnsi" w:hAnsiTheme="majorHAnsi" w:cstheme="majorHAnsi"/>
          <w:sz w:val="20"/>
          <w:szCs w:val="20"/>
        </w:rPr>
        <w:footnoteReference w:id="39"/>
      </w:r>
      <w:r w:rsidR="00064B27" w:rsidRPr="008B1ACA">
        <w:rPr>
          <w:rFonts w:asciiTheme="majorHAnsi" w:hAnsiTheme="majorHAnsi" w:cstheme="majorHAnsi"/>
          <w:sz w:val="20"/>
          <w:szCs w:val="20"/>
        </w:rPr>
        <w:t xml:space="preserve">. </w:t>
      </w:r>
      <w:r w:rsidR="008E4C14" w:rsidRPr="008B1ACA">
        <w:rPr>
          <w:rFonts w:asciiTheme="majorHAnsi" w:hAnsiTheme="majorHAnsi" w:cstheme="majorHAnsi"/>
          <w:sz w:val="20"/>
          <w:szCs w:val="20"/>
        </w:rPr>
        <w:t>Further,</w:t>
      </w:r>
      <w:r w:rsidR="00006349" w:rsidRPr="008B1ACA">
        <w:rPr>
          <w:rFonts w:asciiTheme="majorHAnsi" w:hAnsiTheme="majorHAnsi" w:cstheme="majorHAnsi"/>
          <w:sz w:val="20"/>
          <w:szCs w:val="20"/>
        </w:rPr>
        <w:t xml:space="preserve"> </w:t>
      </w:r>
      <w:r w:rsidR="008E4C14" w:rsidRPr="008B1ACA">
        <w:rPr>
          <w:rFonts w:asciiTheme="majorHAnsi" w:hAnsiTheme="majorHAnsi" w:cstheme="majorHAnsi"/>
          <w:sz w:val="20"/>
          <w:szCs w:val="20"/>
        </w:rPr>
        <w:t>h</w:t>
      </w:r>
      <w:r w:rsidR="003F0D71" w:rsidRPr="008B1ACA">
        <w:rPr>
          <w:rFonts w:asciiTheme="majorHAnsi" w:hAnsiTheme="majorHAnsi" w:cstheme="majorHAnsi"/>
          <w:sz w:val="20"/>
          <w:szCs w:val="20"/>
        </w:rPr>
        <w:t>eatwaves also exacerbate the risk of wildfires</w:t>
      </w:r>
      <w:r w:rsidR="00F60DFE" w:rsidRPr="008B1ACA">
        <w:rPr>
          <w:rFonts w:asciiTheme="majorHAnsi" w:hAnsiTheme="majorHAnsi" w:cstheme="majorHAnsi"/>
          <w:sz w:val="20"/>
          <w:szCs w:val="20"/>
        </w:rPr>
        <w:t>.</w:t>
      </w:r>
    </w:p>
    <w:p w14:paraId="28631F5F" w14:textId="77777777" w:rsidR="008B1ACA" w:rsidRPr="008B1ACA" w:rsidRDefault="008B1ACA" w:rsidP="008B1ACA">
      <w:pPr>
        <w:pStyle w:val="ListParagraph"/>
        <w:rPr>
          <w:rFonts w:asciiTheme="majorHAnsi" w:hAnsiTheme="majorHAnsi" w:cstheme="majorHAnsi"/>
          <w:sz w:val="20"/>
          <w:szCs w:val="20"/>
        </w:rPr>
      </w:pPr>
    </w:p>
    <w:p w14:paraId="6AB35F43" w14:textId="77777777" w:rsidR="008B1ACA" w:rsidRDefault="00F60DFE">
      <w:pPr>
        <w:pStyle w:val="ListParagraph"/>
        <w:numPr>
          <w:ilvl w:val="0"/>
          <w:numId w:val="29"/>
        </w:numPr>
        <w:spacing w:before="120" w:after="120" w:line="240" w:lineRule="auto"/>
        <w:ind w:right="-29"/>
        <w:jc w:val="both"/>
        <w:rPr>
          <w:rFonts w:asciiTheme="majorHAnsi" w:hAnsiTheme="majorHAnsi" w:cstheme="majorHAnsi"/>
          <w:sz w:val="20"/>
          <w:szCs w:val="20"/>
        </w:rPr>
      </w:pPr>
      <w:r w:rsidRPr="008B1ACA">
        <w:rPr>
          <w:rFonts w:asciiTheme="majorHAnsi" w:hAnsiTheme="majorHAnsi" w:cstheme="majorHAnsi"/>
          <w:sz w:val="20"/>
          <w:szCs w:val="20"/>
        </w:rPr>
        <w:t>R</w:t>
      </w:r>
      <w:r w:rsidR="003F0D71" w:rsidRPr="008B1ACA">
        <w:rPr>
          <w:rFonts w:asciiTheme="majorHAnsi" w:hAnsiTheme="majorHAnsi" w:cstheme="majorHAnsi"/>
          <w:sz w:val="20"/>
          <w:szCs w:val="20"/>
        </w:rPr>
        <w:t xml:space="preserve">ising temperatures can lead to the spread of </w:t>
      </w:r>
      <w:r w:rsidRPr="008B1ACA">
        <w:rPr>
          <w:rFonts w:asciiTheme="majorHAnsi" w:hAnsiTheme="majorHAnsi" w:cstheme="majorHAnsi"/>
          <w:sz w:val="20"/>
          <w:szCs w:val="20"/>
        </w:rPr>
        <w:t xml:space="preserve">vector-borne diseases like malaria and the potential for heat-related illnesses </w:t>
      </w:r>
      <w:r w:rsidR="003F0D71" w:rsidRPr="008B1ACA">
        <w:rPr>
          <w:rFonts w:asciiTheme="majorHAnsi" w:hAnsiTheme="majorHAnsi" w:cstheme="majorHAnsi"/>
          <w:sz w:val="20"/>
          <w:szCs w:val="20"/>
        </w:rPr>
        <w:t>and</w:t>
      </w:r>
      <w:r w:rsidRPr="008B1ACA">
        <w:rPr>
          <w:rFonts w:asciiTheme="majorHAnsi" w:hAnsiTheme="majorHAnsi" w:cstheme="majorHAnsi"/>
          <w:sz w:val="20"/>
          <w:szCs w:val="20"/>
        </w:rPr>
        <w:t xml:space="preserve"> extreme weather events like floods and droughts also increase the risk of waterborne diseases</w:t>
      </w:r>
      <w:r w:rsidR="003F0D71">
        <w:rPr>
          <w:rStyle w:val="FootnoteReference"/>
          <w:rFonts w:asciiTheme="majorHAnsi" w:hAnsiTheme="majorHAnsi" w:cstheme="majorHAnsi"/>
          <w:sz w:val="20"/>
          <w:szCs w:val="20"/>
        </w:rPr>
        <w:footnoteReference w:id="40"/>
      </w:r>
      <w:r w:rsidR="003F0D71" w:rsidRPr="008B1ACA">
        <w:rPr>
          <w:rFonts w:asciiTheme="majorHAnsi" w:hAnsiTheme="majorHAnsi" w:cstheme="majorHAnsi"/>
          <w:sz w:val="20"/>
          <w:szCs w:val="20"/>
        </w:rPr>
        <w:t>.</w:t>
      </w:r>
      <w:r w:rsidR="00FE1E73" w:rsidRPr="00FE1E73">
        <w:t xml:space="preserve"> </w:t>
      </w:r>
      <w:r w:rsidR="006E0BAE" w:rsidRPr="008B1ACA">
        <w:rPr>
          <w:rFonts w:asciiTheme="majorHAnsi" w:hAnsiTheme="majorHAnsi" w:cstheme="majorHAnsi"/>
          <w:sz w:val="20"/>
          <w:szCs w:val="20"/>
        </w:rPr>
        <w:t>The World Health Organization projects that climate change could lead to a 1.2% increase in moderate stunting and a 0.8% increase in severe stunting in children under five by 2030 in the Central Asian region due to reduced nutrition</w:t>
      </w:r>
      <w:r w:rsidR="006E0BAE">
        <w:rPr>
          <w:rStyle w:val="FootnoteReference"/>
          <w:rFonts w:asciiTheme="majorHAnsi" w:hAnsiTheme="majorHAnsi" w:cstheme="majorHAnsi"/>
          <w:sz w:val="20"/>
          <w:szCs w:val="20"/>
        </w:rPr>
        <w:footnoteReference w:id="41"/>
      </w:r>
      <w:r w:rsidR="006E0BAE" w:rsidRPr="008B1ACA">
        <w:rPr>
          <w:rFonts w:asciiTheme="majorHAnsi" w:hAnsiTheme="majorHAnsi" w:cstheme="majorHAnsi"/>
          <w:sz w:val="20"/>
          <w:szCs w:val="20"/>
        </w:rPr>
        <w:t xml:space="preserve">. </w:t>
      </w:r>
      <w:r w:rsidR="00FE1E73" w:rsidRPr="008B1ACA">
        <w:rPr>
          <w:rFonts w:asciiTheme="majorHAnsi" w:hAnsiTheme="majorHAnsi" w:cstheme="majorHAnsi"/>
          <w:sz w:val="20"/>
          <w:szCs w:val="20"/>
        </w:rPr>
        <w:t xml:space="preserve">Increasing climate-related </w:t>
      </w:r>
      <w:r w:rsidR="00FE1E73" w:rsidRPr="008B1ACA">
        <w:rPr>
          <w:rFonts w:asciiTheme="majorHAnsi" w:hAnsiTheme="majorHAnsi" w:cstheme="majorHAnsi"/>
          <w:sz w:val="20"/>
          <w:szCs w:val="20"/>
        </w:rPr>
        <w:lastRenderedPageBreak/>
        <w:t>disasters strain emergency response and health systems</w:t>
      </w:r>
      <w:r w:rsidR="008E4C14" w:rsidRPr="008B1ACA">
        <w:rPr>
          <w:rFonts w:asciiTheme="majorHAnsi" w:hAnsiTheme="majorHAnsi" w:cstheme="majorHAnsi"/>
          <w:sz w:val="20"/>
          <w:szCs w:val="20"/>
        </w:rPr>
        <w:t>, with infrastructure, particularly in rural areas, poorly equipped to handle extreme weather events</w:t>
      </w:r>
      <w:r w:rsidR="00FE1E73" w:rsidRPr="008B1ACA">
        <w:rPr>
          <w:rFonts w:asciiTheme="majorHAnsi" w:hAnsiTheme="majorHAnsi" w:cstheme="majorHAnsi"/>
          <w:sz w:val="20"/>
          <w:szCs w:val="20"/>
        </w:rPr>
        <w:t>.</w:t>
      </w:r>
    </w:p>
    <w:p w14:paraId="7E5A781C" w14:textId="77777777" w:rsidR="008B1ACA" w:rsidRPr="008B1ACA" w:rsidRDefault="008B1ACA" w:rsidP="008B1ACA">
      <w:pPr>
        <w:pStyle w:val="ListParagraph"/>
        <w:rPr>
          <w:rFonts w:asciiTheme="majorHAnsi" w:hAnsiTheme="majorHAnsi" w:cstheme="majorHAnsi"/>
          <w:sz w:val="20"/>
          <w:szCs w:val="20"/>
        </w:rPr>
      </w:pPr>
    </w:p>
    <w:p w14:paraId="1F51A090" w14:textId="77777777" w:rsidR="00D529ED" w:rsidRDefault="00006349">
      <w:pPr>
        <w:pStyle w:val="ListParagraph"/>
        <w:numPr>
          <w:ilvl w:val="0"/>
          <w:numId w:val="29"/>
        </w:numPr>
        <w:spacing w:before="120" w:after="120" w:line="240" w:lineRule="auto"/>
        <w:ind w:right="-29"/>
        <w:jc w:val="both"/>
        <w:rPr>
          <w:rFonts w:asciiTheme="majorHAnsi" w:hAnsiTheme="majorHAnsi" w:cstheme="majorHAnsi"/>
          <w:sz w:val="20"/>
          <w:szCs w:val="20"/>
        </w:rPr>
      </w:pPr>
      <w:r w:rsidRPr="00D529ED">
        <w:rPr>
          <w:rFonts w:asciiTheme="majorHAnsi" w:hAnsiTheme="majorHAnsi" w:cstheme="majorHAnsi"/>
          <w:sz w:val="20"/>
          <w:szCs w:val="20"/>
        </w:rPr>
        <w:t>The impacts of climate change are felt differently at the national and sub-national levels. Nationally, agriculture and water resources are the most affected sectors. However, regional disparities are evident. In the southern regions, where irrigation-dependent agriculture is more common, water scarcity is expected to intensify due to glacier retreat and reduced snowfall. In contrast, northern regions are more likely to experience extreme weather events, including floods, due to higher rainfall levels and snowmelt runoff. Urban areas, such as Bishkek, face the challenge of managing heatwaves and poor air quality</w:t>
      </w:r>
      <w:r w:rsidR="00596BFE">
        <w:rPr>
          <w:rStyle w:val="FootnoteReference"/>
          <w:rFonts w:asciiTheme="majorHAnsi" w:hAnsiTheme="majorHAnsi" w:cstheme="majorHAnsi"/>
          <w:sz w:val="20"/>
          <w:szCs w:val="20"/>
        </w:rPr>
        <w:footnoteReference w:id="42"/>
      </w:r>
      <w:r w:rsidR="00596BFE" w:rsidRPr="00D529ED">
        <w:rPr>
          <w:rFonts w:asciiTheme="majorHAnsi" w:hAnsiTheme="majorHAnsi" w:cstheme="majorHAnsi"/>
          <w:sz w:val="20"/>
          <w:szCs w:val="20"/>
          <w:vertAlign w:val="superscript"/>
        </w:rPr>
        <w:t>,</w:t>
      </w:r>
      <w:r w:rsidR="005B433E">
        <w:rPr>
          <w:rStyle w:val="FootnoteReference"/>
          <w:rFonts w:asciiTheme="majorHAnsi" w:hAnsiTheme="majorHAnsi" w:cstheme="majorHAnsi"/>
          <w:sz w:val="20"/>
          <w:szCs w:val="20"/>
        </w:rPr>
        <w:footnoteReference w:id="43"/>
      </w:r>
      <w:r w:rsidRPr="00D529ED">
        <w:rPr>
          <w:rFonts w:asciiTheme="majorHAnsi" w:hAnsiTheme="majorHAnsi" w:cstheme="majorHAnsi"/>
          <w:sz w:val="20"/>
          <w:szCs w:val="20"/>
        </w:rPr>
        <w:t>, while rural areas struggle with drought and agricultural losses.</w:t>
      </w:r>
    </w:p>
    <w:p w14:paraId="1989780D" w14:textId="77777777" w:rsidR="00D529ED" w:rsidRPr="00D529ED" w:rsidRDefault="00D529ED" w:rsidP="00D529ED">
      <w:pPr>
        <w:pStyle w:val="ListParagraph"/>
        <w:rPr>
          <w:rFonts w:asciiTheme="majorHAnsi" w:hAnsiTheme="majorHAnsi" w:cstheme="majorHAnsi"/>
          <w:sz w:val="20"/>
          <w:szCs w:val="20"/>
        </w:rPr>
      </w:pPr>
    </w:p>
    <w:p w14:paraId="1EFECD6B" w14:textId="77777777" w:rsidR="00D529ED" w:rsidRDefault="002A5FEF">
      <w:pPr>
        <w:pStyle w:val="ListParagraph"/>
        <w:numPr>
          <w:ilvl w:val="0"/>
          <w:numId w:val="29"/>
        </w:numPr>
        <w:spacing w:before="120" w:after="120" w:line="240" w:lineRule="auto"/>
        <w:ind w:right="-29"/>
        <w:jc w:val="both"/>
        <w:rPr>
          <w:rFonts w:asciiTheme="majorHAnsi" w:hAnsiTheme="majorHAnsi" w:cstheme="majorHAnsi"/>
          <w:sz w:val="20"/>
          <w:szCs w:val="20"/>
        </w:rPr>
      </w:pPr>
      <w:r w:rsidRPr="00D529ED">
        <w:rPr>
          <w:rFonts w:asciiTheme="majorHAnsi" w:hAnsiTheme="majorHAnsi" w:cstheme="majorHAnsi"/>
          <w:sz w:val="20"/>
          <w:szCs w:val="20"/>
        </w:rPr>
        <w:t>Climate change is projected to disproportionately impact the poorest groups in the Kyrgyz Republic. Poorer businesses, farmers, and communities struggle to afford climate adaptation measures, such as energy efficiency improvements, water storage, and irrigation infrastructure. Women and rural populations, who spend more time in vulnerable areas, are particularly affected by flash floods and landslides. Increased drought intensity and frequency pose significant risks, especially for the poorest, who are more than twice as likely to be exposed to droughts. This population is heavily reliant on agriculture, where droughts are expected to have severe consequences</w:t>
      </w:r>
      <w:r>
        <w:rPr>
          <w:rStyle w:val="FootnoteReference"/>
          <w:rFonts w:asciiTheme="majorHAnsi" w:hAnsiTheme="majorHAnsi" w:cstheme="majorHAnsi"/>
          <w:sz w:val="20"/>
          <w:szCs w:val="20"/>
        </w:rPr>
        <w:footnoteReference w:id="44"/>
      </w:r>
      <w:r w:rsidRPr="00D529ED">
        <w:rPr>
          <w:rFonts w:asciiTheme="majorHAnsi" w:hAnsiTheme="majorHAnsi" w:cstheme="majorHAnsi"/>
          <w:sz w:val="20"/>
          <w:szCs w:val="20"/>
        </w:rPr>
        <w:t>.</w:t>
      </w:r>
      <w:r w:rsidR="00AC2CA4" w:rsidRPr="00D529ED">
        <w:rPr>
          <w:rFonts w:asciiTheme="majorHAnsi" w:hAnsiTheme="majorHAnsi" w:cstheme="majorHAnsi"/>
          <w:sz w:val="20"/>
          <w:szCs w:val="20"/>
        </w:rPr>
        <w:t xml:space="preserve"> </w:t>
      </w:r>
    </w:p>
    <w:p w14:paraId="301B3C77" w14:textId="77777777" w:rsidR="00D529ED" w:rsidRPr="00D529ED" w:rsidRDefault="00D529ED" w:rsidP="00D529ED">
      <w:pPr>
        <w:pStyle w:val="ListParagraph"/>
        <w:rPr>
          <w:rFonts w:asciiTheme="majorHAnsi" w:hAnsiTheme="majorHAnsi" w:cstheme="majorHAnsi"/>
          <w:sz w:val="20"/>
          <w:szCs w:val="20"/>
        </w:rPr>
      </w:pPr>
    </w:p>
    <w:p w14:paraId="1E7AEF48" w14:textId="77777777" w:rsidR="00D529ED" w:rsidRDefault="00E618A2">
      <w:pPr>
        <w:pStyle w:val="ListParagraph"/>
        <w:numPr>
          <w:ilvl w:val="0"/>
          <w:numId w:val="29"/>
        </w:numPr>
        <w:spacing w:before="120" w:after="120" w:line="240" w:lineRule="auto"/>
        <w:ind w:right="-29"/>
        <w:jc w:val="both"/>
        <w:rPr>
          <w:rFonts w:asciiTheme="majorHAnsi" w:hAnsiTheme="majorHAnsi" w:cstheme="majorHAnsi"/>
          <w:sz w:val="20"/>
          <w:szCs w:val="20"/>
        </w:rPr>
      </w:pPr>
      <w:r w:rsidRPr="00D529ED">
        <w:rPr>
          <w:rFonts w:asciiTheme="majorHAnsi" w:hAnsiTheme="majorHAnsi" w:cstheme="majorHAnsi"/>
          <w:sz w:val="20"/>
          <w:szCs w:val="20"/>
        </w:rPr>
        <w:t>Climate change significantly impacts Kyrgyzstan’s progress towards the SDGs. SDG 13 (Climate Action) is central, as the country’s climate adaptation and mitigation efforts are key to achieving sustainable development.</w:t>
      </w:r>
      <w:r w:rsidR="00727E00" w:rsidRPr="00D529ED">
        <w:rPr>
          <w:rFonts w:asciiTheme="majorHAnsi" w:hAnsiTheme="majorHAnsi" w:cstheme="majorHAnsi"/>
          <w:sz w:val="20"/>
          <w:szCs w:val="20"/>
        </w:rPr>
        <w:t xml:space="preserve"> </w:t>
      </w:r>
      <w:r w:rsidR="00F815BC" w:rsidRPr="00D529ED">
        <w:rPr>
          <w:rFonts w:asciiTheme="majorHAnsi" w:hAnsiTheme="majorHAnsi" w:cstheme="majorHAnsi"/>
          <w:sz w:val="20"/>
          <w:szCs w:val="20"/>
        </w:rPr>
        <w:t>The updated NDC (2021) highlights that climate change actions contribute to multiple SDGs, with adaptation measures primarily supporting SDG 13</w:t>
      </w:r>
      <w:r w:rsidR="00CC238A" w:rsidRPr="00D529ED">
        <w:rPr>
          <w:rFonts w:asciiTheme="majorHAnsi" w:hAnsiTheme="majorHAnsi" w:cstheme="majorHAnsi"/>
          <w:sz w:val="20"/>
          <w:szCs w:val="20"/>
        </w:rPr>
        <w:t xml:space="preserve"> (Climate Action)</w:t>
      </w:r>
      <w:r w:rsidR="00F815BC" w:rsidRPr="00D529ED">
        <w:rPr>
          <w:rFonts w:asciiTheme="majorHAnsi" w:hAnsiTheme="majorHAnsi" w:cstheme="majorHAnsi"/>
          <w:sz w:val="20"/>
          <w:szCs w:val="20"/>
        </w:rPr>
        <w:t xml:space="preserve"> and SDG 11</w:t>
      </w:r>
      <w:r w:rsidR="00CC238A" w:rsidRPr="00D529ED">
        <w:rPr>
          <w:rFonts w:asciiTheme="majorHAnsi" w:hAnsiTheme="majorHAnsi" w:cstheme="majorHAnsi"/>
          <w:sz w:val="20"/>
          <w:szCs w:val="20"/>
        </w:rPr>
        <w:t xml:space="preserve"> (</w:t>
      </w:r>
      <w:r w:rsidR="00CC238A" w:rsidRPr="00D529ED">
        <w:rPr>
          <w:sz w:val="20"/>
          <w:szCs w:val="20"/>
        </w:rPr>
        <w:t>Sustainable Cities and Towns)</w:t>
      </w:r>
      <w:r w:rsidR="00F815BC" w:rsidRPr="00D529ED">
        <w:rPr>
          <w:rFonts w:asciiTheme="majorHAnsi" w:hAnsiTheme="majorHAnsi" w:cstheme="majorHAnsi"/>
          <w:sz w:val="20"/>
          <w:szCs w:val="20"/>
        </w:rPr>
        <w:t>, while mitigation actions are expected to most effectively advance SDG 7</w:t>
      </w:r>
      <w:r w:rsidR="00CC238A" w:rsidRPr="00D529ED">
        <w:rPr>
          <w:rFonts w:asciiTheme="majorHAnsi" w:hAnsiTheme="majorHAnsi" w:cstheme="majorHAnsi"/>
          <w:sz w:val="20"/>
          <w:szCs w:val="20"/>
        </w:rPr>
        <w:t xml:space="preserve"> (Affordable and Clean Energy)</w:t>
      </w:r>
      <w:r w:rsidR="00F815BC" w:rsidRPr="00D529ED">
        <w:rPr>
          <w:rFonts w:asciiTheme="majorHAnsi" w:hAnsiTheme="majorHAnsi" w:cstheme="majorHAnsi"/>
          <w:sz w:val="20"/>
          <w:szCs w:val="20"/>
        </w:rPr>
        <w:t xml:space="preserve"> and SDG 12</w:t>
      </w:r>
      <w:r w:rsidR="00CC238A" w:rsidRPr="00D529ED">
        <w:rPr>
          <w:rFonts w:asciiTheme="majorHAnsi" w:hAnsiTheme="majorHAnsi" w:cstheme="majorHAnsi"/>
          <w:sz w:val="20"/>
          <w:szCs w:val="20"/>
        </w:rPr>
        <w:t xml:space="preserve"> (Responsible Consumption and Production)</w:t>
      </w:r>
      <w:r w:rsidR="00F815BC" w:rsidRPr="00E17811">
        <w:rPr>
          <w:rStyle w:val="FootnoteReference"/>
          <w:rFonts w:asciiTheme="majorHAnsi" w:hAnsiTheme="majorHAnsi" w:cstheme="majorHAnsi"/>
          <w:sz w:val="20"/>
          <w:szCs w:val="20"/>
        </w:rPr>
        <w:footnoteReference w:id="45"/>
      </w:r>
      <w:r w:rsidR="00F815BC" w:rsidRPr="00D529ED">
        <w:rPr>
          <w:rFonts w:asciiTheme="majorHAnsi" w:hAnsiTheme="majorHAnsi" w:cstheme="majorHAnsi"/>
          <w:sz w:val="20"/>
          <w:szCs w:val="20"/>
        </w:rPr>
        <w:t>.</w:t>
      </w:r>
      <w:r w:rsidR="00CC238A" w:rsidRPr="00D529ED">
        <w:rPr>
          <w:rFonts w:asciiTheme="majorHAnsi" w:hAnsiTheme="majorHAnsi" w:cstheme="majorHAnsi"/>
          <w:sz w:val="20"/>
          <w:szCs w:val="20"/>
        </w:rPr>
        <w:t xml:space="preserve"> Updated NDC measures are to provide direct contribution to the country’s SDGs 1 (No Poverty), 2 (Zero Hunger), 3 (Good Health and Well-Being), 6 (Clean Water and Sanitation), 8 (Decent Work and Economic Growth), 9 (Industry, Innovation and Infrastructure), 15 (Life on Land).</w:t>
      </w:r>
    </w:p>
    <w:p w14:paraId="6D3A6649" w14:textId="77777777" w:rsidR="00D529ED" w:rsidRPr="00D529ED" w:rsidRDefault="00D529ED" w:rsidP="00D529ED">
      <w:pPr>
        <w:pStyle w:val="ListParagraph"/>
        <w:rPr>
          <w:rFonts w:asciiTheme="majorHAnsi" w:hAnsiTheme="majorHAnsi" w:cstheme="majorHAnsi"/>
          <w:sz w:val="20"/>
          <w:szCs w:val="20"/>
        </w:rPr>
      </w:pPr>
    </w:p>
    <w:p w14:paraId="48451206" w14:textId="2678C4D8" w:rsidR="00D529ED" w:rsidRDefault="003E0AF8">
      <w:pPr>
        <w:pStyle w:val="ListParagraph"/>
        <w:numPr>
          <w:ilvl w:val="0"/>
          <w:numId w:val="29"/>
        </w:numPr>
        <w:spacing w:before="120" w:after="120" w:line="240" w:lineRule="auto"/>
        <w:ind w:right="-29"/>
        <w:jc w:val="both"/>
        <w:rPr>
          <w:rFonts w:asciiTheme="majorHAnsi" w:hAnsiTheme="majorHAnsi" w:cstheme="majorBidi"/>
          <w:sz w:val="20"/>
          <w:szCs w:val="20"/>
        </w:rPr>
      </w:pPr>
      <w:r w:rsidRPr="6A6ABD26">
        <w:rPr>
          <w:rFonts w:asciiTheme="majorHAnsi" w:hAnsiTheme="majorHAnsi" w:cstheme="majorBidi"/>
          <w:b/>
          <w:sz w:val="20"/>
          <w:szCs w:val="20"/>
        </w:rPr>
        <w:t>In 2017, Kyrgyzstan's greenhouse gas (GHG) emissions accounted for just 0.032% of global emissions</w:t>
      </w:r>
      <w:r w:rsidR="00B55D28" w:rsidRPr="6A6ABD26">
        <w:rPr>
          <w:rStyle w:val="FootnoteReference"/>
          <w:rFonts w:asciiTheme="majorHAnsi" w:hAnsiTheme="majorHAnsi" w:cstheme="majorBidi"/>
          <w:sz w:val="20"/>
          <w:szCs w:val="20"/>
        </w:rPr>
        <w:footnoteReference w:id="46"/>
      </w:r>
      <w:r w:rsidR="00B55D28" w:rsidRPr="6A6ABD26">
        <w:rPr>
          <w:rFonts w:asciiTheme="majorHAnsi" w:hAnsiTheme="majorHAnsi" w:cstheme="majorBidi"/>
          <w:sz w:val="20"/>
          <w:szCs w:val="20"/>
        </w:rPr>
        <w:t xml:space="preserve">. </w:t>
      </w:r>
      <w:r w:rsidR="0097118F" w:rsidRPr="6A6ABD26">
        <w:rPr>
          <w:rFonts w:asciiTheme="majorHAnsi" w:hAnsiTheme="majorHAnsi" w:cstheme="majorBidi"/>
          <w:sz w:val="20"/>
          <w:szCs w:val="20"/>
        </w:rPr>
        <w:t>Despite its small share, the country acknowledges the significant and growing impacts of climate change and has established ambitious national goals for both mitigation and adaptation.</w:t>
      </w:r>
      <w:r w:rsidR="001C0756" w:rsidRPr="6A6ABD26">
        <w:rPr>
          <w:rFonts w:asciiTheme="majorHAnsi" w:hAnsiTheme="majorHAnsi" w:cstheme="majorBidi"/>
          <w:sz w:val="20"/>
          <w:szCs w:val="20"/>
        </w:rPr>
        <w:t xml:space="preserve"> </w:t>
      </w:r>
      <w:r w:rsidR="005A0916" w:rsidRPr="6A6ABD26">
        <w:rPr>
          <w:rFonts w:asciiTheme="majorHAnsi" w:hAnsiTheme="majorHAnsi" w:cstheme="majorBidi"/>
          <w:sz w:val="20"/>
          <w:szCs w:val="20"/>
        </w:rPr>
        <w:t>In the updated NDC (2021), Kyrgyzstan declares its intention to increase its climate commitments and by 2025 will reduce greenhouse gas emissions by 16.63% of the emissions level under the "Business as Usual" scenario and, with international support, by 36.61%. By 2030, it can reduce GHG emissions by 15.97% of the emissions level under the "Business as usual" scenario, and with international support by 43.62%</w:t>
      </w:r>
      <w:r w:rsidR="005A0916" w:rsidRPr="6A6ABD26">
        <w:rPr>
          <w:rStyle w:val="FootnoteReference"/>
          <w:rFonts w:asciiTheme="majorHAnsi" w:hAnsiTheme="majorHAnsi" w:cstheme="majorBidi"/>
          <w:sz w:val="20"/>
          <w:szCs w:val="20"/>
        </w:rPr>
        <w:footnoteReference w:id="47"/>
      </w:r>
      <w:r w:rsidR="005A0916" w:rsidRPr="6A6ABD26">
        <w:rPr>
          <w:rFonts w:asciiTheme="majorHAnsi" w:hAnsiTheme="majorHAnsi" w:cstheme="majorBidi"/>
          <w:sz w:val="20"/>
          <w:szCs w:val="20"/>
        </w:rPr>
        <w:t>.</w:t>
      </w:r>
      <w:r w:rsidR="00EB5116">
        <w:rPr>
          <w:rFonts w:asciiTheme="majorHAnsi" w:hAnsiTheme="majorHAnsi" w:cstheme="majorBidi"/>
          <w:sz w:val="20"/>
          <w:szCs w:val="20"/>
        </w:rPr>
        <w:t xml:space="preserve"> </w:t>
      </w:r>
      <w:r w:rsidR="007433AD">
        <w:rPr>
          <w:rFonts w:asciiTheme="majorHAnsi" w:hAnsiTheme="majorHAnsi" w:cstheme="majorBidi"/>
          <w:sz w:val="20"/>
          <w:szCs w:val="20"/>
        </w:rPr>
        <w:t xml:space="preserve">On the adaptation side, NDC focuses on </w:t>
      </w:r>
      <w:r w:rsidR="00B776BF">
        <w:rPr>
          <w:rFonts w:asciiTheme="majorHAnsi" w:hAnsiTheme="majorHAnsi" w:cstheme="majorBidi"/>
          <w:sz w:val="20"/>
          <w:szCs w:val="20"/>
        </w:rPr>
        <w:t xml:space="preserve">the most vulnerable sectors such as water resources, </w:t>
      </w:r>
      <w:r w:rsidR="00E97BBD">
        <w:rPr>
          <w:rFonts w:asciiTheme="majorHAnsi" w:hAnsiTheme="majorHAnsi" w:cstheme="majorBidi"/>
          <w:sz w:val="20"/>
          <w:szCs w:val="20"/>
        </w:rPr>
        <w:t xml:space="preserve">agriculture, </w:t>
      </w:r>
      <w:r w:rsidR="0086710F">
        <w:rPr>
          <w:rFonts w:asciiTheme="majorHAnsi" w:hAnsiTheme="majorHAnsi" w:cstheme="majorBidi"/>
          <w:sz w:val="20"/>
          <w:szCs w:val="20"/>
        </w:rPr>
        <w:t>energy, healthcare, emergencies risk mitigation</w:t>
      </w:r>
      <w:r w:rsidR="003D1823">
        <w:rPr>
          <w:rFonts w:asciiTheme="majorHAnsi" w:hAnsiTheme="majorHAnsi" w:cstheme="majorBidi"/>
          <w:sz w:val="20"/>
          <w:szCs w:val="20"/>
        </w:rPr>
        <w:t>, forest and biodiversity, climate resili</w:t>
      </w:r>
      <w:r w:rsidR="00C879B6">
        <w:rPr>
          <w:rFonts w:asciiTheme="majorHAnsi" w:hAnsiTheme="majorHAnsi" w:cstheme="majorBidi"/>
          <w:sz w:val="20"/>
          <w:szCs w:val="20"/>
        </w:rPr>
        <w:t xml:space="preserve">ent areas and green cities, </w:t>
      </w:r>
      <w:r w:rsidR="00892AA9">
        <w:rPr>
          <w:rFonts w:asciiTheme="majorHAnsi" w:hAnsiTheme="majorHAnsi" w:cstheme="majorBidi"/>
          <w:sz w:val="20"/>
          <w:szCs w:val="20"/>
        </w:rPr>
        <w:t>prioritizing</w:t>
      </w:r>
      <w:r w:rsidR="00680734">
        <w:rPr>
          <w:rFonts w:asciiTheme="majorHAnsi" w:hAnsiTheme="majorHAnsi" w:cstheme="majorBidi"/>
          <w:sz w:val="20"/>
          <w:szCs w:val="20"/>
        </w:rPr>
        <w:t xml:space="preserve"> </w:t>
      </w:r>
      <w:r w:rsidR="00270851">
        <w:rPr>
          <w:rFonts w:asciiTheme="majorHAnsi" w:hAnsiTheme="majorHAnsi" w:cstheme="majorBidi"/>
          <w:sz w:val="20"/>
          <w:szCs w:val="20"/>
        </w:rPr>
        <w:t>the establishment scientifically based policy</w:t>
      </w:r>
      <w:r w:rsidR="00542BF2">
        <w:rPr>
          <w:rFonts w:asciiTheme="majorHAnsi" w:hAnsiTheme="majorHAnsi" w:cstheme="majorBidi"/>
          <w:sz w:val="20"/>
          <w:szCs w:val="20"/>
        </w:rPr>
        <w:t xml:space="preserve"> and</w:t>
      </w:r>
      <w:r w:rsidR="00270851">
        <w:rPr>
          <w:rFonts w:asciiTheme="majorHAnsi" w:hAnsiTheme="majorHAnsi" w:cstheme="majorBidi"/>
          <w:sz w:val="20"/>
          <w:szCs w:val="20"/>
        </w:rPr>
        <w:t xml:space="preserve"> </w:t>
      </w:r>
      <w:r w:rsidR="00184B22">
        <w:rPr>
          <w:rFonts w:asciiTheme="majorHAnsi" w:hAnsiTheme="majorHAnsi" w:cstheme="majorBidi"/>
          <w:sz w:val="20"/>
          <w:szCs w:val="20"/>
        </w:rPr>
        <w:t>regulatory</w:t>
      </w:r>
      <w:r w:rsidR="007210D8">
        <w:rPr>
          <w:rFonts w:asciiTheme="majorHAnsi" w:hAnsiTheme="majorHAnsi" w:cstheme="majorBidi"/>
          <w:sz w:val="20"/>
          <w:szCs w:val="20"/>
        </w:rPr>
        <w:t xml:space="preserve"> </w:t>
      </w:r>
      <w:r w:rsidR="00542BF2">
        <w:rPr>
          <w:rFonts w:asciiTheme="majorHAnsi" w:hAnsiTheme="majorHAnsi" w:cstheme="majorBidi"/>
          <w:sz w:val="20"/>
          <w:szCs w:val="20"/>
        </w:rPr>
        <w:t>mechanisms to reduce vulnerabilities</w:t>
      </w:r>
      <w:r w:rsidR="00184B22">
        <w:rPr>
          <w:rFonts w:asciiTheme="majorHAnsi" w:hAnsiTheme="majorHAnsi" w:cstheme="majorBidi"/>
          <w:sz w:val="20"/>
          <w:szCs w:val="20"/>
        </w:rPr>
        <w:t>, access to concessional finance, increasing resilience of infrastructure</w:t>
      </w:r>
      <w:r w:rsidR="00D95523">
        <w:rPr>
          <w:rFonts w:asciiTheme="majorHAnsi" w:hAnsiTheme="majorHAnsi" w:cstheme="majorBidi"/>
          <w:sz w:val="20"/>
          <w:szCs w:val="20"/>
        </w:rPr>
        <w:t xml:space="preserve"> and</w:t>
      </w:r>
      <w:r w:rsidR="00184B22">
        <w:rPr>
          <w:rFonts w:asciiTheme="majorHAnsi" w:hAnsiTheme="majorHAnsi" w:cstheme="majorBidi"/>
          <w:sz w:val="20"/>
          <w:szCs w:val="20"/>
        </w:rPr>
        <w:t xml:space="preserve"> reducing losses</w:t>
      </w:r>
      <w:r w:rsidR="00D95523">
        <w:rPr>
          <w:rFonts w:asciiTheme="majorHAnsi" w:hAnsiTheme="majorHAnsi" w:cstheme="majorBidi"/>
          <w:sz w:val="20"/>
          <w:szCs w:val="20"/>
        </w:rPr>
        <w:t xml:space="preserve"> in the relevant sectors.</w:t>
      </w:r>
    </w:p>
    <w:p w14:paraId="1CD15436" w14:textId="77777777" w:rsidR="00D529ED" w:rsidRPr="00D529ED" w:rsidRDefault="00D529ED" w:rsidP="00D529ED">
      <w:pPr>
        <w:pStyle w:val="ListParagraph"/>
        <w:rPr>
          <w:rFonts w:asciiTheme="majorHAnsi" w:hAnsiTheme="majorHAnsi" w:cstheme="majorHAnsi"/>
          <w:sz w:val="20"/>
          <w:szCs w:val="20"/>
        </w:rPr>
      </w:pPr>
    </w:p>
    <w:p w14:paraId="178F4B7D" w14:textId="77777777" w:rsidR="00D529ED" w:rsidRDefault="001C0756">
      <w:pPr>
        <w:pStyle w:val="ListParagraph"/>
        <w:numPr>
          <w:ilvl w:val="0"/>
          <w:numId w:val="29"/>
        </w:numPr>
        <w:spacing w:before="120" w:after="120" w:line="240" w:lineRule="auto"/>
        <w:ind w:right="-29"/>
        <w:jc w:val="both"/>
        <w:rPr>
          <w:rFonts w:asciiTheme="majorHAnsi" w:hAnsiTheme="majorHAnsi" w:cstheme="majorHAnsi"/>
          <w:sz w:val="20"/>
          <w:szCs w:val="20"/>
        </w:rPr>
      </w:pPr>
      <w:r w:rsidRPr="00D529ED">
        <w:rPr>
          <w:rFonts w:asciiTheme="majorHAnsi" w:hAnsiTheme="majorHAnsi" w:cstheme="majorHAnsi"/>
          <w:sz w:val="20"/>
          <w:szCs w:val="20"/>
        </w:rPr>
        <w:t xml:space="preserve">The Kyrgyzstan energy sector </w:t>
      </w:r>
      <w:r w:rsidR="00845845" w:rsidRPr="00D529ED">
        <w:rPr>
          <w:rFonts w:asciiTheme="majorHAnsi" w:hAnsiTheme="majorHAnsi" w:cstheme="majorHAnsi"/>
          <w:sz w:val="20"/>
          <w:szCs w:val="20"/>
        </w:rPr>
        <w:t xml:space="preserve">is responsible for approximately </w:t>
      </w:r>
      <w:r w:rsidRPr="00D529ED">
        <w:rPr>
          <w:rFonts w:asciiTheme="majorHAnsi" w:hAnsiTheme="majorHAnsi" w:cstheme="majorHAnsi"/>
          <w:sz w:val="20"/>
          <w:szCs w:val="20"/>
        </w:rPr>
        <w:t>60%</w:t>
      </w:r>
      <w:r w:rsidR="00AB6B77" w:rsidRPr="00D529ED">
        <w:rPr>
          <w:rFonts w:asciiTheme="majorHAnsi" w:hAnsiTheme="majorHAnsi" w:cstheme="majorHAnsi"/>
          <w:sz w:val="20"/>
          <w:szCs w:val="20"/>
        </w:rPr>
        <w:t xml:space="preserve"> </w:t>
      </w:r>
      <w:r w:rsidRPr="00D529ED">
        <w:rPr>
          <w:rFonts w:asciiTheme="majorHAnsi" w:hAnsiTheme="majorHAnsi" w:cstheme="majorHAnsi"/>
          <w:sz w:val="20"/>
          <w:szCs w:val="20"/>
        </w:rPr>
        <w:t xml:space="preserve">of </w:t>
      </w:r>
      <w:r w:rsidR="00845845" w:rsidRPr="00D529ED">
        <w:rPr>
          <w:rFonts w:asciiTheme="majorHAnsi" w:hAnsiTheme="majorHAnsi" w:cstheme="majorHAnsi"/>
          <w:sz w:val="20"/>
          <w:szCs w:val="20"/>
        </w:rPr>
        <w:t>the</w:t>
      </w:r>
      <w:r w:rsidRPr="00D529ED">
        <w:rPr>
          <w:rFonts w:asciiTheme="majorHAnsi" w:hAnsiTheme="majorHAnsi" w:cstheme="majorHAnsi"/>
          <w:sz w:val="20"/>
          <w:szCs w:val="20"/>
        </w:rPr>
        <w:t xml:space="preserve"> total </w:t>
      </w:r>
      <w:r w:rsidR="00845845" w:rsidRPr="00D529ED">
        <w:rPr>
          <w:rFonts w:asciiTheme="majorHAnsi" w:hAnsiTheme="majorHAnsi" w:cstheme="majorHAnsi"/>
          <w:sz w:val="20"/>
          <w:szCs w:val="20"/>
        </w:rPr>
        <w:t xml:space="preserve">country’s </w:t>
      </w:r>
      <w:r w:rsidRPr="00D529ED">
        <w:rPr>
          <w:rFonts w:asciiTheme="majorHAnsi" w:hAnsiTheme="majorHAnsi" w:cstheme="majorHAnsi"/>
          <w:sz w:val="20"/>
          <w:szCs w:val="20"/>
        </w:rPr>
        <w:t xml:space="preserve">GHG emissions, </w:t>
      </w:r>
      <w:r w:rsidR="00845845" w:rsidRPr="00D529ED">
        <w:rPr>
          <w:rFonts w:asciiTheme="majorHAnsi" w:hAnsiTheme="majorHAnsi" w:cstheme="majorHAnsi"/>
          <w:sz w:val="20"/>
          <w:szCs w:val="20"/>
        </w:rPr>
        <w:t>with transport contributing over 45% and residential consumption accounting for more than 30%</w:t>
      </w:r>
      <w:r w:rsidR="002D276C" w:rsidRPr="00D529ED">
        <w:rPr>
          <w:rFonts w:asciiTheme="majorHAnsi" w:hAnsiTheme="majorHAnsi" w:cstheme="majorHAnsi"/>
          <w:sz w:val="20"/>
          <w:szCs w:val="20"/>
        </w:rPr>
        <w:t>.</w:t>
      </w:r>
      <w:r w:rsidR="00D84DA9" w:rsidRPr="00D529ED">
        <w:rPr>
          <w:rFonts w:asciiTheme="majorHAnsi" w:hAnsiTheme="majorHAnsi" w:cstheme="majorHAnsi"/>
          <w:sz w:val="20"/>
          <w:szCs w:val="20"/>
        </w:rPr>
        <w:t xml:space="preserve"> Agriculture contributes an additional third of national emissions, while industrial processes and waste each contribute roughly equal shares to the remainder</w:t>
      </w:r>
      <w:r w:rsidR="00D84DA9">
        <w:rPr>
          <w:rStyle w:val="FootnoteReference"/>
          <w:rFonts w:asciiTheme="majorHAnsi" w:hAnsiTheme="majorHAnsi" w:cstheme="majorHAnsi"/>
          <w:sz w:val="20"/>
          <w:szCs w:val="20"/>
        </w:rPr>
        <w:footnoteReference w:id="48"/>
      </w:r>
      <w:r w:rsidR="00D84DA9" w:rsidRPr="00D529ED">
        <w:rPr>
          <w:rFonts w:asciiTheme="majorHAnsi" w:hAnsiTheme="majorHAnsi" w:cstheme="majorHAnsi"/>
          <w:sz w:val="20"/>
          <w:szCs w:val="20"/>
        </w:rPr>
        <w:t>.</w:t>
      </w:r>
      <w:r w:rsidR="00482983" w:rsidRPr="00D529ED">
        <w:rPr>
          <w:rFonts w:asciiTheme="majorHAnsi" w:hAnsiTheme="majorHAnsi" w:cstheme="majorHAnsi"/>
          <w:sz w:val="20"/>
          <w:szCs w:val="20"/>
        </w:rPr>
        <w:t xml:space="preserve"> Thus, the primary mitigation potential lies within the energy</w:t>
      </w:r>
      <w:r w:rsidR="001A2592" w:rsidRPr="00D529ED">
        <w:rPr>
          <w:rFonts w:asciiTheme="majorHAnsi" w:hAnsiTheme="majorHAnsi" w:cstheme="majorHAnsi"/>
          <w:sz w:val="20"/>
          <w:szCs w:val="20"/>
        </w:rPr>
        <w:t xml:space="preserve"> sector</w:t>
      </w:r>
      <w:r w:rsidR="00482983" w:rsidRPr="00D529ED">
        <w:rPr>
          <w:rFonts w:asciiTheme="majorHAnsi" w:hAnsiTheme="majorHAnsi" w:cstheme="majorHAnsi"/>
          <w:sz w:val="20"/>
          <w:szCs w:val="20"/>
        </w:rPr>
        <w:t>, particularly transport and residential consumption, and agriculture.</w:t>
      </w:r>
    </w:p>
    <w:p w14:paraId="6F4FAE25" w14:textId="77777777" w:rsidR="00D529ED" w:rsidRPr="00D529ED" w:rsidRDefault="00D529ED" w:rsidP="00D529ED">
      <w:pPr>
        <w:pStyle w:val="ListParagraph"/>
        <w:rPr>
          <w:rFonts w:asciiTheme="majorHAnsi" w:hAnsiTheme="majorHAnsi" w:cstheme="majorHAnsi"/>
          <w:sz w:val="20"/>
          <w:szCs w:val="20"/>
        </w:rPr>
      </w:pPr>
    </w:p>
    <w:p w14:paraId="62358256" w14:textId="77777777" w:rsidR="00D529ED" w:rsidRPr="00D529ED" w:rsidRDefault="001B7881">
      <w:pPr>
        <w:pStyle w:val="ListParagraph"/>
        <w:numPr>
          <w:ilvl w:val="0"/>
          <w:numId w:val="29"/>
        </w:numPr>
        <w:spacing w:before="120" w:after="120" w:line="240" w:lineRule="auto"/>
        <w:ind w:right="-29"/>
        <w:jc w:val="both"/>
        <w:rPr>
          <w:sz w:val="20"/>
          <w:szCs w:val="20"/>
        </w:rPr>
      </w:pPr>
      <w:r w:rsidRPr="00D529ED">
        <w:rPr>
          <w:rFonts w:asciiTheme="majorHAnsi" w:hAnsiTheme="majorHAnsi" w:cstheme="majorHAnsi"/>
          <w:sz w:val="20"/>
          <w:szCs w:val="20"/>
        </w:rPr>
        <w:lastRenderedPageBreak/>
        <w:t>Kyrgyzstan demonstrates its commitment to climate action by participating in key international agreements such as the UNFCCC, the Paris Agreement, and the Kyoto Protocol, which guide its mitigation and adaptation efforts. The country also aligns with the Sendai Framework</w:t>
      </w:r>
      <w:r w:rsidR="00133480" w:rsidRPr="00D529ED">
        <w:rPr>
          <w:rFonts w:asciiTheme="majorHAnsi" w:hAnsiTheme="majorHAnsi" w:cstheme="majorHAnsi"/>
          <w:sz w:val="20"/>
          <w:szCs w:val="20"/>
        </w:rPr>
        <w:t xml:space="preserve"> for Disaster Risk Reduction</w:t>
      </w:r>
      <w:r w:rsidRPr="00D529ED">
        <w:rPr>
          <w:rFonts w:asciiTheme="majorHAnsi" w:hAnsiTheme="majorHAnsi" w:cstheme="majorHAnsi"/>
          <w:sz w:val="20"/>
          <w:szCs w:val="20"/>
        </w:rPr>
        <w:t xml:space="preserve">, </w:t>
      </w:r>
      <w:r w:rsidR="00FC6ED0" w:rsidRPr="00D529ED">
        <w:rPr>
          <w:rFonts w:asciiTheme="majorHAnsi" w:hAnsiTheme="majorHAnsi" w:cstheme="majorHAnsi"/>
          <w:sz w:val="20"/>
          <w:szCs w:val="20"/>
        </w:rPr>
        <w:t>UN Convention to Combat Desertification</w:t>
      </w:r>
      <w:r w:rsidRPr="00D529ED">
        <w:rPr>
          <w:rFonts w:asciiTheme="majorHAnsi" w:hAnsiTheme="majorHAnsi" w:cstheme="majorHAnsi"/>
          <w:sz w:val="20"/>
          <w:szCs w:val="20"/>
        </w:rPr>
        <w:t xml:space="preserve">, and </w:t>
      </w:r>
      <w:r w:rsidR="00FC6ED0" w:rsidRPr="00D529ED">
        <w:rPr>
          <w:rFonts w:asciiTheme="majorHAnsi" w:hAnsiTheme="majorHAnsi" w:cstheme="majorHAnsi"/>
          <w:sz w:val="20"/>
          <w:szCs w:val="20"/>
        </w:rPr>
        <w:t>Convention on Biological Diversity</w:t>
      </w:r>
      <w:r w:rsidRPr="00D529ED">
        <w:rPr>
          <w:rFonts w:asciiTheme="majorHAnsi" w:hAnsiTheme="majorHAnsi" w:cstheme="majorHAnsi"/>
          <w:sz w:val="20"/>
          <w:szCs w:val="20"/>
        </w:rPr>
        <w:t xml:space="preserve"> to address climate-related risks, land degradation, and biodiversity conservation.</w:t>
      </w:r>
      <w:r w:rsidR="00133480" w:rsidRPr="00D529ED">
        <w:rPr>
          <w:rFonts w:asciiTheme="majorHAnsi" w:hAnsiTheme="majorHAnsi" w:cstheme="majorHAnsi"/>
          <w:sz w:val="20"/>
          <w:szCs w:val="20"/>
        </w:rPr>
        <w:t xml:space="preserve"> Furthermore, Kyrgyzstan is a signatory to the Convention on the Protection and Use of Transboundary Watercourses and International Lakes, vital for addressing climate-induced water challenges.</w:t>
      </w:r>
    </w:p>
    <w:p w14:paraId="39D5FC54" w14:textId="77777777" w:rsidR="00D529ED" w:rsidRPr="00D529ED" w:rsidRDefault="00D529ED" w:rsidP="00D529ED">
      <w:pPr>
        <w:pStyle w:val="ListParagraph"/>
        <w:rPr>
          <w:rFonts w:asciiTheme="majorHAnsi" w:hAnsiTheme="majorHAnsi" w:cstheme="majorHAnsi"/>
          <w:sz w:val="20"/>
          <w:szCs w:val="20"/>
        </w:rPr>
      </w:pPr>
    </w:p>
    <w:p w14:paraId="184C100B" w14:textId="37071A14" w:rsidR="00B4068D" w:rsidRDefault="00AA52C8">
      <w:pPr>
        <w:pStyle w:val="ListParagraph"/>
        <w:numPr>
          <w:ilvl w:val="0"/>
          <w:numId w:val="29"/>
        </w:numPr>
        <w:spacing w:before="120" w:after="120" w:line="240" w:lineRule="auto"/>
        <w:ind w:right="-29"/>
        <w:jc w:val="both"/>
        <w:rPr>
          <w:rFonts w:asciiTheme="majorHAnsi" w:hAnsiTheme="majorHAnsi" w:cstheme="majorBidi"/>
          <w:sz w:val="20"/>
          <w:szCs w:val="20"/>
        </w:rPr>
      </w:pPr>
      <w:r w:rsidRPr="6A6ABD26">
        <w:rPr>
          <w:rFonts w:asciiTheme="majorHAnsi" w:hAnsiTheme="majorHAnsi" w:cstheme="majorBidi"/>
          <w:sz w:val="20"/>
          <w:szCs w:val="20"/>
        </w:rPr>
        <w:t xml:space="preserve">The transition to a low-carbon, greener society and sustainable development is a priority and a cross-cutting theme in key national strategic documents, including the National Sustainable Development Strategy of the Kyrgyz Republic until 2040, the National Development Program until 2026, and their respective action plans. National programming aimed at greening society and aligned with the NDC led to the creation of the Green Economy Program 2019-2023, with its new phase currently underway, as well as the development of the Concept for Achieving Carbon Neutrality by 2050 for the Kyrgyz Republic. </w:t>
      </w:r>
      <w:r w:rsidR="00F612CA" w:rsidRPr="6A6ABD26">
        <w:rPr>
          <w:rFonts w:asciiTheme="majorHAnsi" w:hAnsiTheme="majorHAnsi" w:cstheme="majorBidi"/>
          <w:sz w:val="20"/>
          <w:szCs w:val="20"/>
        </w:rPr>
        <w:t xml:space="preserve">The government's efforts to address climate change through comprehensive adaptation and mitigation strategies, as well as by strengthening institutional and financial frameworks for climate action are supported by international development partners through projects such as </w:t>
      </w:r>
      <w:r w:rsidRPr="6A6ABD26">
        <w:rPr>
          <w:rFonts w:asciiTheme="majorHAnsi" w:hAnsiTheme="majorHAnsi" w:cstheme="majorBidi"/>
          <w:sz w:val="20"/>
          <w:szCs w:val="20"/>
        </w:rPr>
        <w:t xml:space="preserve">National Adaptation </w:t>
      </w:r>
      <w:r w:rsidR="00C964C1" w:rsidRPr="6A6ABD26">
        <w:rPr>
          <w:rFonts w:asciiTheme="majorHAnsi" w:hAnsiTheme="majorHAnsi" w:cstheme="majorBidi"/>
          <w:sz w:val="20"/>
          <w:szCs w:val="20"/>
        </w:rPr>
        <w:t>P</w:t>
      </w:r>
      <w:r w:rsidRPr="6A6ABD26">
        <w:rPr>
          <w:rFonts w:asciiTheme="majorHAnsi" w:hAnsiTheme="majorHAnsi" w:cstheme="majorBidi"/>
          <w:sz w:val="20"/>
          <w:szCs w:val="20"/>
        </w:rPr>
        <w:t>lanning</w:t>
      </w:r>
      <w:r w:rsidR="008C26A2" w:rsidRPr="6A6ABD26">
        <w:rPr>
          <w:rFonts w:asciiTheme="majorHAnsi" w:hAnsiTheme="majorHAnsi" w:cstheme="majorBidi"/>
          <w:sz w:val="20"/>
          <w:szCs w:val="20"/>
        </w:rPr>
        <w:t xml:space="preserve"> (NAP)</w:t>
      </w:r>
      <w:r w:rsidRPr="6A6ABD26">
        <w:rPr>
          <w:rFonts w:asciiTheme="majorHAnsi" w:hAnsiTheme="majorHAnsi" w:cstheme="majorBidi"/>
          <w:sz w:val="20"/>
          <w:szCs w:val="20"/>
        </w:rPr>
        <w:t xml:space="preserve">, </w:t>
      </w:r>
      <w:r w:rsidR="60789168" w:rsidRPr="6A6ABD26">
        <w:rPr>
          <w:rFonts w:asciiTheme="majorHAnsi" w:hAnsiTheme="majorHAnsi" w:cstheme="majorBidi"/>
          <w:sz w:val="20"/>
          <w:szCs w:val="20"/>
        </w:rPr>
        <w:t>global project ‘From Pledge to Impact’</w:t>
      </w:r>
      <w:r w:rsidR="00F612CA" w:rsidRPr="6A6ABD26">
        <w:rPr>
          <w:rFonts w:asciiTheme="majorHAnsi" w:hAnsiTheme="majorHAnsi" w:cstheme="majorBidi"/>
          <w:sz w:val="20"/>
          <w:szCs w:val="20"/>
        </w:rPr>
        <w:t xml:space="preserve">, Partnership for Action on Green Economy, Integrated </w:t>
      </w:r>
      <w:r w:rsidR="00AC01F2" w:rsidRPr="6A6ABD26">
        <w:rPr>
          <w:rFonts w:asciiTheme="majorHAnsi" w:hAnsiTheme="majorHAnsi" w:cstheme="majorBidi"/>
          <w:sz w:val="20"/>
          <w:szCs w:val="20"/>
        </w:rPr>
        <w:t xml:space="preserve">National </w:t>
      </w:r>
      <w:r w:rsidR="00F612CA" w:rsidRPr="6A6ABD26">
        <w:rPr>
          <w:rFonts w:asciiTheme="majorHAnsi" w:hAnsiTheme="majorHAnsi" w:cstheme="majorBidi"/>
          <w:sz w:val="20"/>
          <w:szCs w:val="20"/>
        </w:rPr>
        <w:t>Financing Framework, and beyond.</w:t>
      </w:r>
      <w:r w:rsidR="009B10C4" w:rsidRPr="6A6ABD26">
        <w:rPr>
          <w:rFonts w:asciiTheme="majorHAnsi" w:hAnsiTheme="majorHAnsi" w:cstheme="majorBidi"/>
          <w:sz w:val="20"/>
          <w:szCs w:val="20"/>
        </w:rPr>
        <w:t xml:space="preserve"> </w:t>
      </w:r>
      <w:r w:rsidR="00C964C1" w:rsidRPr="6A6ABD26">
        <w:rPr>
          <w:rFonts w:asciiTheme="majorHAnsi" w:hAnsiTheme="majorHAnsi" w:cstheme="majorBidi"/>
          <w:sz w:val="20"/>
          <w:szCs w:val="20"/>
        </w:rPr>
        <w:t xml:space="preserve">In 2018, the </w:t>
      </w:r>
      <w:r w:rsidR="00961629" w:rsidRPr="6A6ABD26">
        <w:rPr>
          <w:rFonts w:asciiTheme="majorHAnsi" w:hAnsiTheme="majorHAnsi" w:cstheme="majorBidi"/>
          <w:sz w:val="20"/>
          <w:szCs w:val="20"/>
        </w:rPr>
        <w:t>Climate Investment Programme</w:t>
      </w:r>
      <w:r w:rsidR="00621596" w:rsidRPr="6A6ABD26">
        <w:rPr>
          <w:rFonts w:asciiTheme="majorHAnsi" w:hAnsiTheme="majorHAnsi" w:cstheme="majorBidi"/>
          <w:sz w:val="20"/>
          <w:szCs w:val="20"/>
        </w:rPr>
        <w:t>, a critical framework,</w:t>
      </w:r>
      <w:r w:rsidR="00961629" w:rsidRPr="6A6ABD26">
        <w:rPr>
          <w:rFonts w:asciiTheme="majorHAnsi" w:hAnsiTheme="majorHAnsi" w:cstheme="majorBidi"/>
          <w:sz w:val="20"/>
          <w:szCs w:val="20"/>
        </w:rPr>
        <w:t xml:space="preserve"> was developed with the aim to </w:t>
      </w:r>
      <w:r w:rsidR="00961629" w:rsidRPr="00B4068D">
        <w:rPr>
          <w:sz w:val="20"/>
          <w:szCs w:val="20"/>
        </w:rPr>
        <w:t>manage climate finance access in Kyrgyzstan, mobilizing funds from various sources like the Green Climate Fund</w:t>
      </w:r>
      <w:r w:rsidR="00EB70AB" w:rsidRPr="00B4068D">
        <w:rPr>
          <w:sz w:val="20"/>
          <w:szCs w:val="20"/>
        </w:rPr>
        <w:t xml:space="preserve"> (GCF)</w:t>
      </w:r>
      <w:r w:rsidR="00961629" w:rsidRPr="00B4068D">
        <w:rPr>
          <w:sz w:val="20"/>
          <w:szCs w:val="20"/>
        </w:rPr>
        <w:t xml:space="preserve"> and development partners to enhance climate resilience while aligning with national policies and sectoral strategies</w:t>
      </w:r>
      <w:r w:rsidR="00C964C1" w:rsidRPr="6A6ABD26">
        <w:rPr>
          <w:rStyle w:val="FootnoteReference"/>
          <w:rFonts w:asciiTheme="majorHAnsi" w:hAnsiTheme="majorHAnsi" w:cstheme="majorBidi"/>
          <w:sz w:val="20"/>
          <w:szCs w:val="20"/>
        </w:rPr>
        <w:footnoteReference w:id="49"/>
      </w:r>
      <w:r w:rsidR="009B26CA" w:rsidRPr="00B4068D">
        <w:rPr>
          <w:sz w:val="20"/>
          <w:szCs w:val="20"/>
        </w:rPr>
        <w:t>.</w:t>
      </w:r>
      <w:r w:rsidR="00621596" w:rsidRPr="00B4068D">
        <w:rPr>
          <w:sz w:val="20"/>
          <w:szCs w:val="20"/>
        </w:rPr>
        <w:t xml:space="preserve"> </w:t>
      </w:r>
      <w:r w:rsidR="00780F62" w:rsidRPr="00B4068D">
        <w:rPr>
          <w:sz w:val="20"/>
          <w:szCs w:val="20"/>
        </w:rPr>
        <w:t>The clear priorities have emerged for green and climate investments, covering renewable energy, energy efficiency, green buildings, sustainable transport, water management, waste management, sustainable agriculture, forestry, and biodiversity conservation</w:t>
      </w:r>
      <w:r w:rsidR="00780F62" w:rsidRPr="00780F62">
        <w:rPr>
          <w:rStyle w:val="FootnoteReference"/>
          <w:sz w:val="20"/>
          <w:szCs w:val="20"/>
        </w:rPr>
        <w:footnoteReference w:id="50"/>
      </w:r>
      <w:r w:rsidR="00780F62" w:rsidRPr="00B4068D">
        <w:rPr>
          <w:sz w:val="20"/>
          <w:szCs w:val="20"/>
        </w:rPr>
        <w:t xml:space="preserve">. </w:t>
      </w:r>
      <w:r w:rsidR="00621596" w:rsidRPr="6A6ABD26">
        <w:rPr>
          <w:rFonts w:asciiTheme="majorHAnsi" w:hAnsiTheme="majorHAnsi" w:cstheme="majorBidi"/>
          <w:sz w:val="20"/>
          <w:szCs w:val="20"/>
        </w:rPr>
        <w:t>However, there are persisting challenges in mobilizing sufficient financial resources and technical support to scale up these efforts.</w:t>
      </w:r>
      <w:r w:rsidR="00E738E6" w:rsidRPr="6A6ABD26">
        <w:rPr>
          <w:rFonts w:asciiTheme="majorHAnsi" w:hAnsiTheme="majorHAnsi" w:cstheme="majorBidi"/>
          <w:sz w:val="20"/>
          <w:szCs w:val="20"/>
        </w:rPr>
        <w:t xml:space="preserve"> </w:t>
      </w:r>
    </w:p>
    <w:p w14:paraId="3E58A68E" w14:textId="77777777" w:rsidR="00B4068D" w:rsidRDefault="00B4068D" w:rsidP="00B4068D">
      <w:pPr>
        <w:pStyle w:val="ListParagraph"/>
        <w:spacing w:before="120" w:after="120" w:line="240" w:lineRule="auto"/>
        <w:ind w:left="360" w:right="-29"/>
        <w:jc w:val="both"/>
        <w:rPr>
          <w:rFonts w:asciiTheme="majorHAnsi" w:hAnsiTheme="majorHAnsi" w:cstheme="majorHAnsi"/>
          <w:sz w:val="20"/>
          <w:szCs w:val="20"/>
        </w:rPr>
      </w:pPr>
    </w:p>
    <w:p w14:paraId="465268A0" w14:textId="3855D01A" w:rsidR="00B4068D" w:rsidRPr="00F530C7" w:rsidRDefault="00F530C7" w:rsidP="00B4068D">
      <w:pPr>
        <w:pStyle w:val="ListParagraph"/>
        <w:spacing w:before="120" w:after="120" w:line="240" w:lineRule="auto"/>
        <w:ind w:left="360" w:right="-29"/>
        <w:jc w:val="both"/>
        <w:rPr>
          <w:rFonts w:asciiTheme="majorHAnsi" w:hAnsiTheme="majorHAnsi" w:cstheme="majorHAnsi"/>
          <w:b/>
          <w:bCs/>
          <w:sz w:val="20"/>
          <w:szCs w:val="20"/>
        </w:rPr>
      </w:pPr>
      <w:r w:rsidRPr="00F530C7">
        <w:rPr>
          <w:rFonts w:asciiTheme="majorHAnsi" w:hAnsiTheme="majorHAnsi" w:cstheme="majorHAnsi"/>
          <w:b/>
          <w:bCs/>
          <w:sz w:val="20"/>
          <w:szCs w:val="20"/>
        </w:rPr>
        <w:t>Climate Finance context</w:t>
      </w:r>
    </w:p>
    <w:p w14:paraId="5CD8024E" w14:textId="77777777" w:rsidR="00F530C7" w:rsidRDefault="00F530C7" w:rsidP="00B4068D">
      <w:pPr>
        <w:pStyle w:val="ListParagraph"/>
        <w:spacing w:before="120" w:after="120" w:line="240" w:lineRule="auto"/>
        <w:ind w:left="360" w:right="-29"/>
        <w:jc w:val="both"/>
        <w:rPr>
          <w:rFonts w:asciiTheme="majorHAnsi" w:hAnsiTheme="majorHAnsi" w:cstheme="majorHAnsi"/>
          <w:sz w:val="20"/>
          <w:szCs w:val="20"/>
        </w:rPr>
      </w:pPr>
    </w:p>
    <w:p w14:paraId="6662F781" w14:textId="77777777" w:rsidR="00B4068D" w:rsidRPr="00F530C7" w:rsidRDefault="006660C9">
      <w:pPr>
        <w:pStyle w:val="ListParagraph"/>
        <w:numPr>
          <w:ilvl w:val="0"/>
          <w:numId w:val="29"/>
        </w:numPr>
        <w:spacing w:before="120" w:after="120" w:line="240" w:lineRule="auto"/>
        <w:ind w:right="-29"/>
        <w:jc w:val="both"/>
        <w:rPr>
          <w:sz w:val="20"/>
          <w:szCs w:val="20"/>
        </w:rPr>
      </w:pPr>
      <w:r w:rsidRPr="00B4068D">
        <w:rPr>
          <w:rFonts w:asciiTheme="majorHAnsi" w:hAnsiTheme="majorHAnsi" w:cstheme="majorHAnsi"/>
          <w:sz w:val="20"/>
          <w:szCs w:val="20"/>
        </w:rPr>
        <w:t xml:space="preserve">According to the updated NDC (2021), </w:t>
      </w:r>
      <w:r w:rsidRPr="00B4068D">
        <w:rPr>
          <w:rFonts w:asciiTheme="majorHAnsi" w:hAnsiTheme="majorHAnsi" w:cstheme="majorHAnsi"/>
          <w:b/>
          <w:bCs/>
          <w:sz w:val="20"/>
          <w:szCs w:val="20"/>
        </w:rPr>
        <w:t>the overall estimated cost of the implementation of mitigation and adaptation actions till 2030</w:t>
      </w:r>
      <w:r w:rsidRPr="00B4068D">
        <w:rPr>
          <w:b/>
          <w:bCs/>
        </w:rPr>
        <w:t xml:space="preserve"> t</w:t>
      </w:r>
      <w:r w:rsidRPr="00B4068D">
        <w:rPr>
          <w:rFonts w:asciiTheme="majorHAnsi" w:hAnsiTheme="majorHAnsi" w:cstheme="majorHAnsi"/>
          <w:b/>
          <w:bCs/>
          <w:sz w:val="20"/>
          <w:szCs w:val="20"/>
        </w:rPr>
        <w:t xml:space="preserve">otals at around USD 10 billion, </w:t>
      </w:r>
      <w:r w:rsidR="00352169" w:rsidRPr="00B4068D">
        <w:rPr>
          <w:rFonts w:asciiTheme="majorHAnsi" w:hAnsiTheme="majorHAnsi" w:cstheme="majorHAnsi"/>
          <w:b/>
          <w:bCs/>
          <w:sz w:val="20"/>
          <w:szCs w:val="20"/>
        </w:rPr>
        <w:t xml:space="preserve">with USD 7.2 billion required for mitigation and USD 2.8 billion for adaptation, </w:t>
      </w:r>
      <w:r w:rsidRPr="00B4068D">
        <w:rPr>
          <w:rFonts w:asciiTheme="majorHAnsi" w:hAnsiTheme="majorHAnsi" w:cstheme="majorHAnsi"/>
          <w:b/>
          <w:bCs/>
          <w:sz w:val="20"/>
          <w:szCs w:val="20"/>
        </w:rPr>
        <w:t>of which only 37% can be secured using own funds, while the remaining 63% climate finance will be mobilized through international financial assistance</w:t>
      </w:r>
      <w:r>
        <w:rPr>
          <w:rStyle w:val="FootnoteReference"/>
          <w:rFonts w:asciiTheme="majorHAnsi" w:hAnsiTheme="majorHAnsi" w:cstheme="majorHAnsi"/>
          <w:sz w:val="20"/>
          <w:szCs w:val="20"/>
        </w:rPr>
        <w:footnoteReference w:id="51"/>
      </w:r>
      <w:r w:rsidRPr="00B4068D">
        <w:rPr>
          <w:rFonts w:asciiTheme="majorHAnsi" w:hAnsiTheme="majorHAnsi" w:cstheme="majorHAnsi"/>
          <w:sz w:val="20"/>
          <w:szCs w:val="20"/>
        </w:rPr>
        <w:t>.</w:t>
      </w:r>
      <w:r w:rsidR="008562EE" w:rsidRPr="00B4068D">
        <w:rPr>
          <w:rFonts w:asciiTheme="majorHAnsi" w:hAnsiTheme="majorHAnsi" w:cstheme="majorHAnsi"/>
          <w:sz w:val="20"/>
          <w:szCs w:val="20"/>
        </w:rPr>
        <w:t xml:space="preserve"> </w:t>
      </w:r>
      <w:r w:rsidR="00BF0A78" w:rsidRPr="00B4068D">
        <w:rPr>
          <w:rFonts w:asciiTheme="majorHAnsi" w:hAnsiTheme="majorHAnsi" w:cstheme="majorHAnsi"/>
          <w:sz w:val="20"/>
          <w:szCs w:val="20"/>
        </w:rPr>
        <w:t>Against the backdrop of limited domestic resources for priority climate projects, Kyrgyzstan actively collaborates with international donors and financial institutions, however full potential to access and utilize climate finance remains untapped</w:t>
      </w:r>
      <w:r w:rsidR="00BF0A78">
        <w:rPr>
          <w:rStyle w:val="FootnoteReference"/>
          <w:rFonts w:asciiTheme="majorHAnsi" w:hAnsiTheme="majorHAnsi" w:cstheme="majorHAnsi"/>
          <w:sz w:val="20"/>
          <w:szCs w:val="20"/>
        </w:rPr>
        <w:footnoteReference w:id="52"/>
      </w:r>
      <w:r w:rsidR="00BF0A78" w:rsidRPr="00B4068D">
        <w:rPr>
          <w:rFonts w:asciiTheme="majorHAnsi" w:hAnsiTheme="majorHAnsi" w:cstheme="majorHAnsi"/>
          <w:sz w:val="20"/>
          <w:szCs w:val="20"/>
        </w:rPr>
        <w:t>.</w:t>
      </w:r>
      <w:r w:rsidR="00E738E6" w:rsidRPr="00B4068D">
        <w:rPr>
          <w:rFonts w:asciiTheme="majorHAnsi" w:hAnsiTheme="majorHAnsi" w:cstheme="majorHAnsi"/>
          <w:sz w:val="20"/>
          <w:szCs w:val="20"/>
        </w:rPr>
        <w:t xml:space="preserve"> Limited investment and liquidity, coupled with a fiscal deficit, reduce government support; however, resilient economic actors rely on their own creativity and agility to continue growing.</w:t>
      </w:r>
    </w:p>
    <w:p w14:paraId="3060CD3F" w14:textId="77777777" w:rsidR="00F530C7" w:rsidRPr="00B4068D" w:rsidRDefault="00F530C7" w:rsidP="00F530C7">
      <w:pPr>
        <w:pStyle w:val="ListParagraph"/>
        <w:spacing w:before="120" w:after="120" w:line="240" w:lineRule="auto"/>
        <w:ind w:left="360" w:right="-29"/>
        <w:jc w:val="both"/>
        <w:rPr>
          <w:sz w:val="20"/>
          <w:szCs w:val="20"/>
        </w:rPr>
      </w:pPr>
    </w:p>
    <w:p w14:paraId="3CE4DB90" w14:textId="77777777" w:rsidR="00B4068D" w:rsidRDefault="008562EE">
      <w:pPr>
        <w:pStyle w:val="ListParagraph"/>
        <w:numPr>
          <w:ilvl w:val="0"/>
          <w:numId w:val="29"/>
        </w:numPr>
        <w:spacing w:before="120" w:after="120" w:line="240" w:lineRule="auto"/>
        <w:ind w:right="-29"/>
        <w:jc w:val="both"/>
        <w:rPr>
          <w:sz w:val="20"/>
          <w:szCs w:val="20"/>
        </w:rPr>
      </w:pPr>
      <w:r w:rsidRPr="00B4068D">
        <w:rPr>
          <w:rFonts w:asciiTheme="majorHAnsi" w:hAnsiTheme="majorHAnsi" w:cstheme="majorHAnsi"/>
          <w:sz w:val="20"/>
          <w:szCs w:val="20"/>
        </w:rPr>
        <w:t>This scenario necessitates a comprehensive transformation of the country’s economy, requiring robust systems to acquire, manage, and demonstrate the effective use of climate and green finance.</w:t>
      </w:r>
      <w:r w:rsidR="00BF0A78" w:rsidRPr="00B4068D">
        <w:rPr>
          <w:rFonts w:asciiTheme="majorHAnsi" w:hAnsiTheme="majorHAnsi" w:cstheme="majorHAnsi"/>
          <w:sz w:val="20"/>
          <w:szCs w:val="20"/>
        </w:rPr>
        <w:t xml:space="preserve"> </w:t>
      </w:r>
      <w:r w:rsidR="00E67F2A" w:rsidRPr="00B4068D">
        <w:rPr>
          <w:rFonts w:asciiTheme="majorHAnsi" w:hAnsiTheme="majorHAnsi" w:cstheme="majorHAnsi"/>
          <w:sz w:val="20"/>
          <w:szCs w:val="20"/>
        </w:rPr>
        <w:t>Along with government stakeholders and international development partners, private sector stakeholders, including businesses, business associations, and banks, play a crucial role in advancing climate change adaptation and resilience by mobilizing resources, scaling up adaptation efforts, and creating innovative solutions</w:t>
      </w:r>
      <w:r w:rsidR="006D4642" w:rsidRPr="00B4068D">
        <w:rPr>
          <w:rFonts w:asciiTheme="majorHAnsi" w:hAnsiTheme="majorHAnsi" w:cstheme="majorHAnsi"/>
          <w:sz w:val="20"/>
          <w:szCs w:val="20"/>
        </w:rPr>
        <w:t xml:space="preserve">. </w:t>
      </w:r>
      <w:r w:rsidR="006D4642" w:rsidRPr="00B4068D">
        <w:rPr>
          <w:sz w:val="20"/>
          <w:szCs w:val="20"/>
        </w:rPr>
        <w:t>The</w:t>
      </w:r>
      <w:r w:rsidR="009111B3" w:rsidRPr="00B4068D">
        <w:rPr>
          <w:sz w:val="20"/>
          <w:szCs w:val="20"/>
        </w:rPr>
        <w:t xml:space="preserve"> green finance market capacity is estimated to range from </w:t>
      </w:r>
      <w:r w:rsidR="000F7866" w:rsidRPr="00B4068D">
        <w:rPr>
          <w:sz w:val="20"/>
          <w:szCs w:val="20"/>
        </w:rPr>
        <w:t xml:space="preserve">USD </w:t>
      </w:r>
      <w:r w:rsidR="009111B3" w:rsidRPr="00B4068D">
        <w:rPr>
          <w:sz w:val="20"/>
          <w:szCs w:val="20"/>
        </w:rPr>
        <w:t xml:space="preserve">150 million according to demand-side projections, with the potential market capacity for the banking portfolio reaching </w:t>
      </w:r>
      <w:r w:rsidR="000F7866" w:rsidRPr="00B4068D">
        <w:rPr>
          <w:sz w:val="20"/>
          <w:szCs w:val="20"/>
        </w:rPr>
        <w:t xml:space="preserve">USD </w:t>
      </w:r>
      <w:r w:rsidR="009111B3" w:rsidRPr="00B4068D">
        <w:rPr>
          <w:sz w:val="20"/>
          <w:szCs w:val="20"/>
        </w:rPr>
        <w:t>415 million over the next five years</w:t>
      </w:r>
      <w:r w:rsidR="000F7866" w:rsidRPr="006D4642">
        <w:rPr>
          <w:rStyle w:val="FootnoteReference"/>
          <w:sz w:val="20"/>
          <w:szCs w:val="20"/>
        </w:rPr>
        <w:footnoteReference w:id="53"/>
      </w:r>
      <w:r w:rsidR="009111B3" w:rsidRPr="00B4068D">
        <w:rPr>
          <w:sz w:val="20"/>
          <w:szCs w:val="20"/>
        </w:rPr>
        <w:t>.</w:t>
      </w:r>
    </w:p>
    <w:p w14:paraId="27698A50" w14:textId="77777777" w:rsidR="00F530C7" w:rsidRDefault="00F530C7" w:rsidP="00F530C7">
      <w:pPr>
        <w:pStyle w:val="ListParagraph"/>
        <w:spacing w:before="120" w:after="120" w:line="240" w:lineRule="auto"/>
        <w:ind w:left="360" w:right="-29"/>
        <w:jc w:val="both"/>
        <w:rPr>
          <w:sz w:val="20"/>
          <w:szCs w:val="20"/>
        </w:rPr>
      </w:pPr>
    </w:p>
    <w:p w14:paraId="36C0E146" w14:textId="77777777" w:rsidR="00F530C7" w:rsidRPr="00F530C7" w:rsidRDefault="00546B19">
      <w:pPr>
        <w:pStyle w:val="ListParagraph"/>
        <w:numPr>
          <w:ilvl w:val="0"/>
          <w:numId w:val="29"/>
        </w:numPr>
        <w:spacing w:before="120" w:after="120" w:line="240" w:lineRule="auto"/>
        <w:ind w:right="-29"/>
        <w:jc w:val="both"/>
        <w:rPr>
          <w:rFonts w:asciiTheme="majorHAnsi" w:hAnsiTheme="majorHAnsi" w:cstheme="majorHAnsi"/>
          <w:sz w:val="20"/>
          <w:szCs w:val="20"/>
        </w:rPr>
      </w:pPr>
      <w:r w:rsidRPr="00F530C7">
        <w:rPr>
          <w:sz w:val="20"/>
          <w:szCs w:val="20"/>
        </w:rPr>
        <w:t>Kyrgyzstan's financial market is in the early stages of readiness for green and climate finance, with growing interest but a lack of comprehensive frameworks, specialized knowledge, and climate risk management tools; capacity-building efforts</w:t>
      </w:r>
      <w:r w:rsidR="0084459E" w:rsidRPr="00F530C7">
        <w:rPr>
          <w:sz w:val="20"/>
          <w:szCs w:val="20"/>
        </w:rPr>
        <w:t>,</w:t>
      </w:r>
      <w:r w:rsidRPr="00F530C7">
        <w:rPr>
          <w:sz w:val="20"/>
          <w:szCs w:val="20"/>
        </w:rPr>
        <w:t xml:space="preserve"> increased coordination between sectors </w:t>
      </w:r>
      <w:r w:rsidR="0084459E" w:rsidRPr="00F530C7">
        <w:rPr>
          <w:sz w:val="20"/>
          <w:szCs w:val="20"/>
        </w:rPr>
        <w:t xml:space="preserve">and more targeted interventions to increase access to and use of green and climate financial products and </w:t>
      </w:r>
      <w:r w:rsidR="0084459E" w:rsidRPr="00F530C7">
        <w:rPr>
          <w:sz w:val="20"/>
          <w:szCs w:val="20"/>
        </w:rPr>
        <w:lastRenderedPageBreak/>
        <w:t xml:space="preserve">services, </w:t>
      </w:r>
      <w:r w:rsidRPr="00F530C7">
        <w:rPr>
          <w:sz w:val="20"/>
          <w:szCs w:val="20"/>
        </w:rPr>
        <w:t>are needed to fully enable climate finance.</w:t>
      </w:r>
      <w:r w:rsidR="00AD79B6" w:rsidRPr="00F530C7">
        <w:rPr>
          <w:sz w:val="20"/>
          <w:szCs w:val="20"/>
        </w:rPr>
        <w:t xml:space="preserve"> Technical readiness of the market for the green investment is at a low but not zero level: the economic agents are involved in “greening” processes, e.g. almost all banks in the country already have ESG or “green” departments and policies, while there are no shared standards or developed regulation in place.</w:t>
      </w:r>
    </w:p>
    <w:p w14:paraId="2A3201F3" w14:textId="77777777" w:rsidR="00F530C7" w:rsidRPr="00F530C7" w:rsidRDefault="00F530C7" w:rsidP="00F530C7">
      <w:pPr>
        <w:pStyle w:val="ListParagraph"/>
        <w:spacing w:before="120" w:after="120" w:line="240" w:lineRule="auto"/>
        <w:ind w:left="360" w:right="-29"/>
        <w:jc w:val="both"/>
        <w:rPr>
          <w:rFonts w:asciiTheme="majorHAnsi" w:hAnsiTheme="majorHAnsi" w:cstheme="majorHAnsi"/>
          <w:sz w:val="20"/>
          <w:szCs w:val="20"/>
        </w:rPr>
      </w:pPr>
    </w:p>
    <w:p w14:paraId="755453C4" w14:textId="77777777" w:rsidR="00F530C7" w:rsidRDefault="00AD79B6">
      <w:pPr>
        <w:pStyle w:val="ListParagraph"/>
        <w:numPr>
          <w:ilvl w:val="0"/>
          <w:numId w:val="29"/>
        </w:numPr>
        <w:spacing w:before="120" w:after="120" w:line="240" w:lineRule="auto"/>
        <w:ind w:right="-29"/>
        <w:jc w:val="both"/>
        <w:rPr>
          <w:rFonts w:asciiTheme="majorHAnsi" w:hAnsiTheme="majorHAnsi" w:cstheme="majorHAnsi"/>
          <w:sz w:val="20"/>
          <w:szCs w:val="20"/>
        </w:rPr>
      </w:pPr>
      <w:r w:rsidRPr="00F530C7">
        <w:rPr>
          <w:rFonts w:asciiTheme="majorHAnsi" w:hAnsiTheme="majorHAnsi" w:cstheme="majorHAnsi"/>
          <w:sz w:val="20"/>
          <w:szCs w:val="20"/>
        </w:rPr>
        <w:t>National Bank (</w:t>
      </w:r>
      <w:r w:rsidR="004104B6" w:rsidRPr="00F530C7">
        <w:rPr>
          <w:rFonts w:asciiTheme="majorHAnsi" w:hAnsiTheme="majorHAnsi" w:cstheme="majorHAnsi"/>
          <w:sz w:val="20"/>
          <w:szCs w:val="20"/>
        </w:rPr>
        <w:t>NBKR</w:t>
      </w:r>
      <w:r w:rsidRPr="00F530C7">
        <w:rPr>
          <w:rFonts w:asciiTheme="majorHAnsi" w:hAnsiTheme="majorHAnsi" w:cstheme="majorHAnsi"/>
          <w:sz w:val="20"/>
          <w:szCs w:val="20"/>
        </w:rPr>
        <w:t>)</w:t>
      </w:r>
      <w:r w:rsidR="001D1C69" w:rsidRPr="00F530C7">
        <w:rPr>
          <w:rFonts w:asciiTheme="majorHAnsi" w:hAnsiTheme="majorHAnsi" w:cstheme="majorHAnsi"/>
          <w:sz w:val="20"/>
          <w:szCs w:val="20"/>
        </w:rPr>
        <w:t xml:space="preserve"> is active though </w:t>
      </w:r>
      <w:r w:rsidR="00601541" w:rsidRPr="00F530C7">
        <w:rPr>
          <w:rFonts w:asciiTheme="majorHAnsi" w:hAnsiTheme="majorHAnsi" w:cstheme="majorHAnsi"/>
          <w:sz w:val="20"/>
          <w:szCs w:val="20"/>
        </w:rPr>
        <w:t>conservative</w:t>
      </w:r>
      <w:r w:rsidR="001D1C69" w:rsidRPr="00F530C7">
        <w:rPr>
          <w:rFonts w:asciiTheme="majorHAnsi" w:hAnsiTheme="majorHAnsi" w:cstheme="majorHAnsi"/>
          <w:sz w:val="20"/>
          <w:szCs w:val="20"/>
        </w:rPr>
        <w:t xml:space="preserve"> in promoting green and climate finance</w:t>
      </w:r>
      <w:r w:rsidR="00E23162" w:rsidRPr="00F530C7">
        <w:rPr>
          <w:rFonts w:asciiTheme="majorHAnsi" w:hAnsiTheme="majorHAnsi" w:cstheme="majorHAnsi"/>
          <w:sz w:val="20"/>
          <w:szCs w:val="20"/>
        </w:rPr>
        <w:t>.</w:t>
      </w:r>
      <w:r w:rsidR="001D1C69" w:rsidRPr="00F530C7">
        <w:rPr>
          <w:rFonts w:asciiTheme="majorHAnsi" w:hAnsiTheme="majorHAnsi" w:cstheme="majorHAnsi"/>
          <w:sz w:val="20"/>
          <w:szCs w:val="20"/>
        </w:rPr>
        <w:t xml:space="preserve"> </w:t>
      </w:r>
      <w:r w:rsidR="00E23162" w:rsidRPr="00F530C7">
        <w:rPr>
          <w:rFonts w:asciiTheme="majorHAnsi" w:hAnsiTheme="majorHAnsi" w:cstheme="majorHAnsi"/>
          <w:sz w:val="20"/>
          <w:szCs w:val="20"/>
        </w:rPr>
        <w:t xml:space="preserve">NBKR is </w:t>
      </w:r>
      <w:r w:rsidR="001D1C69" w:rsidRPr="00F530C7">
        <w:rPr>
          <w:rFonts w:asciiTheme="majorHAnsi" w:hAnsiTheme="majorHAnsi" w:cstheme="majorHAnsi"/>
          <w:sz w:val="20"/>
          <w:szCs w:val="20"/>
        </w:rPr>
        <w:t xml:space="preserve">currently working </w:t>
      </w:r>
      <w:r w:rsidR="00E23162" w:rsidRPr="00F530C7">
        <w:rPr>
          <w:rFonts w:asciiTheme="majorHAnsi" w:hAnsiTheme="majorHAnsi" w:cstheme="majorHAnsi"/>
          <w:sz w:val="20"/>
          <w:szCs w:val="20"/>
        </w:rPr>
        <w:t xml:space="preserve">on </w:t>
      </w:r>
      <w:r w:rsidR="00E04890" w:rsidRPr="00F530C7">
        <w:rPr>
          <w:rFonts w:asciiTheme="majorHAnsi" w:hAnsiTheme="majorHAnsi" w:cstheme="majorHAnsi"/>
          <w:sz w:val="20"/>
          <w:szCs w:val="20"/>
        </w:rPr>
        <w:t>several relevant initiatives, including developing a</w:t>
      </w:r>
      <w:r w:rsidR="001D1C69" w:rsidRPr="00F530C7">
        <w:rPr>
          <w:rFonts w:asciiTheme="majorHAnsi" w:hAnsiTheme="majorHAnsi" w:cstheme="majorHAnsi"/>
          <w:sz w:val="20"/>
          <w:szCs w:val="20"/>
        </w:rPr>
        <w:t xml:space="preserve"> roadmap for green financing and regulation that will cover reporting, risk management, corporate governance, and ESG implementation, credit risk for green loans</w:t>
      </w:r>
      <w:r w:rsidR="00E23162" w:rsidRPr="00F530C7">
        <w:rPr>
          <w:rFonts w:asciiTheme="majorHAnsi" w:hAnsiTheme="majorHAnsi" w:cstheme="majorHAnsi"/>
          <w:sz w:val="20"/>
          <w:szCs w:val="20"/>
        </w:rPr>
        <w:t xml:space="preserve">; elaborating approaches to reduce prudential standards for banks on green lending </w:t>
      </w:r>
      <w:r w:rsidR="00E04890" w:rsidRPr="00F530C7">
        <w:rPr>
          <w:rFonts w:asciiTheme="majorHAnsi" w:hAnsiTheme="majorHAnsi" w:cstheme="majorHAnsi"/>
          <w:sz w:val="20"/>
          <w:szCs w:val="20"/>
        </w:rPr>
        <w:t>and enhancing cooperation with the Network for Greening the Financial System.</w:t>
      </w:r>
    </w:p>
    <w:p w14:paraId="3F1E7998" w14:textId="77777777" w:rsidR="00F530C7" w:rsidRPr="00F530C7" w:rsidRDefault="00F530C7" w:rsidP="00F530C7">
      <w:pPr>
        <w:pStyle w:val="ListParagraph"/>
        <w:rPr>
          <w:rFonts w:asciiTheme="majorHAnsi" w:hAnsiTheme="majorHAnsi" w:cstheme="majorHAnsi"/>
          <w:sz w:val="20"/>
          <w:szCs w:val="20"/>
        </w:rPr>
      </w:pPr>
    </w:p>
    <w:p w14:paraId="783B3545" w14:textId="0BA701E6" w:rsidR="00F530C7" w:rsidRDefault="006453B7">
      <w:pPr>
        <w:pStyle w:val="ListParagraph"/>
        <w:numPr>
          <w:ilvl w:val="0"/>
          <w:numId w:val="29"/>
        </w:numPr>
        <w:spacing w:before="120" w:after="120" w:line="240" w:lineRule="auto"/>
        <w:ind w:right="-29"/>
        <w:jc w:val="both"/>
        <w:rPr>
          <w:rFonts w:asciiTheme="majorHAnsi" w:hAnsiTheme="majorHAnsi" w:cstheme="majorHAnsi"/>
          <w:sz w:val="20"/>
          <w:szCs w:val="20"/>
        </w:rPr>
      </w:pPr>
      <w:r w:rsidRPr="00F530C7">
        <w:rPr>
          <w:rFonts w:asciiTheme="majorHAnsi" w:hAnsiTheme="majorHAnsi" w:cstheme="majorHAnsi"/>
          <w:sz w:val="20"/>
          <w:szCs w:val="20"/>
        </w:rPr>
        <w:t xml:space="preserve">The Guarantee Fund serves as a key development agent, offering loan guarantees for </w:t>
      </w:r>
      <w:r w:rsidR="00E45BCA" w:rsidRPr="00F530C7">
        <w:rPr>
          <w:rFonts w:asciiTheme="majorHAnsi" w:hAnsiTheme="majorHAnsi" w:cstheme="majorHAnsi"/>
          <w:sz w:val="20"/>
          <w:szCs w:val="20"/>
        </w:rPr>
        <w:t>small and medium enterprises</w:t>
      </w:r>
      <w:r w:rsidRPr="00F530C7">
        <w:rPr>
          <w:rFonts w:asciiTheme="majorHAnsi" w:hAnsiTheme="majorHAnsi" w:cstheme="majorHAnsi"/>
          <w:sz w:val="20"/>
          <w:szCs w:val="20"/>
        </w:rPr>
        <w:t xml:space="preserve"> with support from </w:t>
      </w:r>
      <w:r w:rsidR="00E45BCA" w:rsidRPr="00F530C7">
        <w:rPr>
          <w:rFonts w:asciiTheme="majorHAnsi" w:hAnsiTheme="majorHAnsi" w:cstheme="majorHAnsi"/>
          <w:sz w:val="20"/>
          <w:szCs w:val="20"/>
        </w:rPr>
        <w:t>Asian Development Bank (</w:t>
      </w:r>
      <w:r w:rsidRPr="00F530C7">
        <w:rPr>
          <w:rFonts w:asciiTheme="majorHAnsi" w:hAnsiTheme="majorHAnsi" w:cstheme="majorHAnsi"/>
          <w:sz w:val="20"/>
          <w:szCs w:val="20"/>
        </w:rPr>
        <w:t>ADB</w:t>
      </w:r>
      <w:r w:rsidR="00E45BCA" w:rsidRPr="00F530C7">
        <w:rPr>
          <w:rFonts w:asciiTheme="majorHAnsi" w:hAnsiTheme="majorHAnsi" w:cstheme="majorHAnsi"/>
          <w:sz w:val="20"/>
          <w:szCs w:val="20"/>
        </w:rPr>
        <w:t>)</w:t>
      </w:r>
      <w:r w:rsidRPr="00F530C7">
        <w:rPr>
          <w:rFonts w:asciiTheme="majorHAnsi" w:hAnsiTheme="majorHAnsi" w:cstheme="majorHAnsi"/>
          <w:sz w:val="20"/>
          <w:szCs w:val="20"/>
        </w:rPr>
        <w:t xml:space="preserve">, and is increasingly focused on creating solutions to provide guarantees for green </w:t>
      </w:r>
      <w:r w:rsidR="008F20BF" w:rsidRPr="00F530C7">
        <w:rPr>
          <w:rFonts w:asciiTheme="majorHAnsi" w:hAnsiTheme="majorHAnsi" w:cstheme="majorHAnsi"/>
          <w:sz w:val="20"/>
          <w:szCs w:val="20"/>
        </w:rPr>
        <w:t>financing. The</w:t>
      </w:r>
      <w:r w:rsidR="00001472" w:rsidRPr="00F530C7">
        <w:rPr>
          <w:rFonts w:asciiTheme="majorHAnsi" w:hAnsiTheme="majorHAnsi" w:cstheme="majorHAnsi"/>
          <w:sz w:val="20"/>
          <w:szCs w:val="20"/>
        </w:rPr>
        <w:t xml:space="preserve"> Climate Finance Center (CFC)</w:t>
      </w:r>
      <w:r w:rsidR="00652F57" w:rsidRPr="00F530C7">
        <w:rPr>
          <w:rFonts w:asciiTheme="majorHAnsi" w:hAnsiTheme="majorHAnsi" w:cstheme="majorHAnsi"/>
          <w:sz w:val="20"/>
          <w:szCs w:val="20"/>
        </w:rPr>
        <w:t xml:space="preserve">, </w:t>
      </w:r>
      <w:r w:rsidR="00153D07" w:rsidRPr="00F530C7">
        <w:rPr>
          <w:rFonts w:asciiTheme="majorHAnsi" w:hAnsiTheme="majorHAnsi" w:cstheme="majorHAnsi"/>
          <w:sz w:val="20"/>
          <w:szCs w:val="20"/>
        </w:rPr>
        <w:t xml:space="preserve">established in 2017, </w:t>
      </w:r>
      <w:r w:rsidR="00652F57" w:rsidRPr="00F530C7">
        <w:rPr>
          <w:rFonts w:asciiTheme="majorHAnsi" w:hAnsiTheme="majorHAnsi" w:cstheme="majorHAnsi"/>
          <w:sz w:val="20"/>
          <w:szCs w:val="20"/>
        </w:rPr>
        <w:t>as the appointed lead institution for climate finance in Kyrgyzstan, coordinates stakeholders, attracts climate funds, supports the design and implementation of resilience projects, assists in developing a national climate strategy, and monitors climate change investment programs.</w:t>
      </w:r>
      <w:r w:rsidR="00001472" w:rsidRPr="00F530C7">
        <w:rPr>
          <w:rFonts w:asciiTheme="majorHAnsi" w:hAnsiTheme="majorHAnsi" w:cstheme="majorHAnsi"/>
          <w:sz w:val="20"/>
          <w:szCs w:val="20"/>
        </w:rPr>
        <w:t xml:space="preserve"> </w:t>
      </w:r>
      <w:r w:rsidR="00153D07" w:rsidRPr="00F530C7">
        <w:rPr>
          <w:rFonts w:asciiTheme="majorHAnsi" w:hAnsiTheme="majorHAnsi" w:cstheme="majorHAnsi"/>
          <w:sz w:val="20"/>
          <w:szCs w:val="20"/>
        </w:rPr>
        <w:t>Currently, the CF</w:t>
      </w:r>
      <w:r w:rsidR="00951931" w:rsidRPr="00F530C7">
        <w:rPr>
          <w:rFonts w:asciiTheme="majorHAnsi" w:hAnsiTheme="majorHAnsi" w:cstheme="majorHAnsi"/>
          <w:sz w:val="20"/>
          <w:szCs w:val="20"/>
        </w:rPr>
        <w:t xml:space="preserve">C </w:t>
      </w:r>
      <w:r w:rsidR="00153D07" w:rsidRPr="00F530C7">
        <w:rPr>
          <w:rFonts w:asciiTheme="majorHAnsi" w:hAnsiTheme="majorHAnsi" w:cstheme="majorHAnsi"/>
          <w:sz w:val="20"/>
          <w:szCs w:val="20"/>
        </w:rPr>
        <w:t>focuses on project preparation</w:t>
      </w:r>
      <w:r w:rsidR="00B8111B" w:rsidRPr="00F530C7">
        <w:rPr>
          <w:rFonts w:asciiTheme="majorHAnsi" w:hAnsiTheme="majorHAnsi" w:cstheme="majorHAnsi"/>
          <w:sz w:val="20"/>
          <w:szCs w:val="20"/>
        </w:rPr>
        <w:t xml:space="preserve"> for public institutions</w:t>
      </w:r>
      <w:r w:rsidR="00153D07" w:rsidRPr="00F530C7">
        <w:rPr>
          <w:rFonts w:asciiTheme="majorHAnsi" w:hAnsiTheme="majorHAnsi" w:cstheme="majorHAnsi"/>
          <w:sz w:val="20"/>
          <w:szCs w:val="20"/>
        </w:rPr>
        <w:t>, funding searches, and educational programs in green initiatives, while also coordinating green projects under the Cabinet of Ministers</w:t>
      </w:r>
      <w:r w:rsidR="00904068">
        <w:rPr>
          <w:rStyle w:val="FootnoteReference"/>
          <w:rFonts w:asciiTheme="majorHAnsi" w:hAnsiTheme="majorHAnsi" w:cstheme="majorHAnsi"/>
          <w:sz w:val="20"/>
          <w:szCs w:val="20"/>
        </w:rPr>
        <w:footnoteReference w:id="54"/>
      </w:r>
      <w:r w:rsidR="00153D07" w:rsidRPr="00F530C7">
        <w:rPr>
          <w:rFonts w:asciiTheme="majorHAnsi" w:hAnsiTheme="majorHAnsi" w:cstheme="majorHAnsi"/>
          <w:sz w:val="20"/>
          <w:szCs w:val="20"/>
        </w:rPr>
        <w:t>.</w:t>
      </w:r>
    </w:p>
    <w:p w14:paraId="12778C22" w14:textId="77777777" w:rsidR="00F530C7" w:rsidRPr="00F530C7" w:rsidRDefault="00F530C7" w:rsidP="00F530C7">
      <w:pPr>
        <w:pStyle w:val="ListParagraph"/>
        <w:rPr>
          <w:rFonts w:asciiTheme="majorHAnsi" w:hAnsiTheme="majorHAnsi" w:cstheme="majorHAnsi"/>
          <w:sz w:val="20"/>
          <w:szCs w:val="20"/>
        </w:rPr>
      </w:pPr>
    </w:p>
    <w:p w14:paraId="79D54ACF" w14:textId="77777777" w:rsidR="00F530C7" w:rsidRDefault="00537649">
      <w:pPr>
        <w:pStyle w:val="ListParagraph"/>
        <w:numPr>
          <w:ilvl w:val="0"/>
          <w:numId w:val="29"/>
        </w:numPr>
        <w:spacing w:before="120" w:after="120" w:line="240" w:lineRule="auto"/>
        <w:ind w:right="-29"/>
        <w:jc w:val="both"/>
        <w:rPr>
          <w:rFonts w:asciiTheme="majorHAnsi" w:hAnsiTheme="majorHAnsi" w:cstheme="majorHAnsi"/>
          <w:sz w:val="20"/>
          <w:szCs w:val="20"/>
        </w:rPr>
      </w:pPr>
      <w:r w:rsidRPr="00F530C7">
        <w:rPr>
          <w:rFonts w:asciiTheme="majorHAnsi" w:hAnsiTheme="majorHAnsi" w:cstheme="majorHAnsi"/>
          <w:sz w:val="20"/>
          <w:szCs w:val="20"/>
        </w:rPr>
        <w:t xml:space="preserve">The State Development Bank (SDB) is a key market player with strong credibility, providing a solid foundation for its role in national economic development and the green agenda. In 2023, the SDB held discussions with the Ministry of Economy and Commerce on the creation of a green financing mechanism within the SDB, attracting significant capital </w:t>
      </w:r>
      <w:r w:rsidR="0088373B" w:rsidRPr="00F530C7">
        <w:rPr>
          <w:rFonts w:asciiTheme="majorHAnsi" w:hAnsiTheme="majorHAnsi" w:cstheme="majorHAnsi"/>
          <w:sz w:val="20"/>
          <w:szCs w:val="20"/>
        </w:rPr>
        <w:t>of around</w:t>
      </w:r>
      <w:r w:rsidRPr="00F530C7">
        <w:rPr>
          <w:rFonts w:asciiTheme="majorHAnsi" w:hAnsiTheme="majorHAnsi" w:cstheme="majorHAnsi"/>
          <w:sz w:val="20"/>
          <w:szCs w:val="20"/>
        </w:rPr>
        <w:t xml:space="preserve"> USD 200 </w:t>
      </w:r>
      <w:r w:rsidR="00605DED" w:rsidRPr="00F530C7">
        <w:rPr>
          <w:rFonts w:asciiTheme="majorHAnsi" w:hAnsiTheme="majorHAnsi" w:cstheme="majorHAnsi"/>
          <w:sz w:val="20"/>
          <w:szCs w:val="20"/>
        </w:rPr>
        <w:t>million</w:t>
      </w:r>
      <w:r w:rsidRPr="00F530C7">
        <w:rPr>
          <w:rFonts w:asciiTheme="majorHAnsi" w:hAnsiTheme="majorHAnsi" w:cstheme="majorHAnsi"/>
          <w:sz w:val="20"/>
          <w:szCs w:val="20"/>
        </w:rPr>
        <w:t>.</w:t>
      </w:r>
      <w:r w:rsidR="001D0DD7" w:rsidRPr="00F530C7">
        <w:rPr>
          <w:rFonts w:asciiTheme="majorHAnsi" w:hAnsiTheme="majorHAnsi" w:cstheme="majorHAnsi"/>
          <w:sz w:val="20"/>
          <w:szCs w:val="20"/>
        </w:rPr>
        <w:t xml:space="preserve"> SDB targets to build its operation in alignment with international best practices, aiming to become a valuable national vehicle to channel international funding.</w:t>
      </w:r>
      <w:r w:rsidR="00335D9A" w:rsidRPr="00F530C7">
        <w:rPr>
          <w:rFonts w:asciiTheme="majorHAnsi" w:hAnsiTheme="majorHAnsi" w:cstheme="majorHAnsi"/>
          <w:sz w:val="20"/>
          <w:szCs w:val="20"/>
        </w:rPr>
        <w:t xml:space="preserve"> Recently, SDB launched a green finance product aimed at promoting environmentally responsible investments, adopted an internal green project taxonomy, and established operational procedures for evaluating and financing green projects, including lucrative loan conditions for borrowers</w:t>
      </w:r>
      <w:r w:rsidR="00335D9A">
        <w:rPr>
          <w:rStyle w:val="FootnoteReference"/>
          <w:rFonts w:asciiTheme="majorHAnsi" w:hAnsiTheme="majorHAnsi" w:cstheme="majorHAnsi"/>
          <w:sz w:val="20"/>
          <w:szCs w:val="20"/>
        </w:rPr>
        <w:footnoteReference w:id="55"/>
      </w:r>
      <w:r w:rsidR="00335D9A" w:rsidRPr="00F530C7">
        <w:rPr>
          <w:rFonts w:asciiTheme="majorHAnsi" w:hAnsiTheme="majorHAnsi" w:cstheme="majorHAnsi"/>
          <w:sz w:val="20"/>
          <w:szCs w:val="20"/>
        </w:rPr>
        <w:t>.</w:t>
      </w:r>
    </w:p>
    <w:p w14:paraId="06A3EA2D" w14:textId="77777777" w:rsidR="00F530C7" w:rsidRPr="00F530C7" w:rsidRDefault="00F530C7" w:rsidP="00F530C7">
      <w:pPr>
        <w:pStyle w:val="ListParagraph"/>
        <w:rPr>
          <w:rFonts w:asciiTheme="majorHAnsi" w:hAnsiTheme="majorHAnsi" w:cstheme="majorHAnsi"/>
          <w:sz w:val="20"/>
          <w:szCs w:val="20"/>
        </w:rPr>
      </w:pPr>
    </w:p>
    <w:p w14:paraId="1F828E3A" w14:textId="531F7B98" w:rsidR="00601541" w:rsidRPr="00F530C7" w:rsidRDefault="006C6D04">
      <w:pPr>
        <w:pStyle w:val="ListParagraph"/>
        <w:numPr>
          <w:ilvl w:val="0"/>
          <w:numId w:val="29"/>
        </w:numPr>
        <w:spacing w:before="120" w:after="120" w:line="240" w:lineRule="auto"/>
        <w:ind w:right="-29"/>
        <w:jc w:val="both"/>
        <w:rPr>
          <w:rFonts w:asciiTheme="majorHAnsi" w:hAnsiTheme="majorHAnsi" w:cstheme="majorHAnsi"/>
          <w:sz w:val="20"/>
          <w:szCs w:val="20"/>
        </w:rPr>
      </w:pPr>
      <w:r w:rsidRPr="00F530C7">
        <w:rPr>
          <w:rFonts w:asciiTheme="majorHAnsi" w:hAnsiTheme="majorHAnsi" w:cstheme="majorHAnsi"/>
          <w:sz w:val="20"/>
          <w:szCs w:val="20"/>
        </w:rPr>
        <w:t>Banks in Kyrgyzstan, despite challenges in attracting finance, are adapting and growing their green portfolios by taking up ESG principles and offering green loans, such as for electric vehicles and energy-saving technologies. Some banks report that green loans make up around 15% of total loans. Green bonds and funding for gender goals are also gaining traction, while ESG reporting on the Kyrgyz Stock Exchange signals progress in the country's securities market.</w:t>
      </w:r>
    </w:p>
    <w:p w14:paraId="29C62696" w14:textId="65F8A72D" w:rsidR="00295719" w:rsidRPr="00597789" w:rsidRDefault="00295719" w:rsidP="00E67AA2">
      <w:pPr>
        <w:spacing w:before="120" w:after="120" w:line="240" w:lineRule="auto"/>
        <w:ind w:right="-29"/>
        <w:jc w:val="both"/>
        <w:rPr>
          <w:rStyle w:val="DefaultText"/>
          <w:b/>
          <w:bCs/>
          <w:color w:val="000000" w:themeColor="text1"/>
          <w:highlight w:val="lightGray"/>
          <w:u w:val="single"/>
        </w:rPr>
      </w:pPr>
    </w:p>
    <w:p w14:paraId="0E100355" w14:textId="7CDD607A" w:rsidR="00F97840" w:rsidRPr="00AF3539" w:rsidRDefault="00F97840" w:rsidP="00163FD5">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Institutional and Policy Framework</w:t>
      </w:r>
      <w:r w:rsidR="008B6034">
        <w:rPr>
          <w:b/>
          <w:color w:val="276E8B" w:themeColor="accent1" w:themeShade="BF"/>
        </w:rPr>
        <w:t xml:space="preserve"> </w:t>
      </w:r>
    </w:p>
    <w:p w14:paraId="401D4D67" w14:textId="1F5372C0" w:rsidR="002A0EC7" w:rsidRPr="00FC0B03" w:rsidRDefault="004B720C" w:rsidP="00FC0B03">
      <w:pPr>
        <w:rPr>
          <w:b/>
          <w:bCs/>
          <w:lang w:val="ru-RU"/>
        </w:rPr>
      </w:pPr>
      <w:r>
        <w:rPr>
          <w:b/>
          <w:bCs/>
        </w:rPr>
        <w:t xml:space="preserve">i) </w:t>
      </w:r>
      <w:r w:rsidRPr="00F97840">
        <w:rPr>
          <w:b/>
          <w:bCs/>
        </w:rPr>
        <w:t>Policy Framework</w:t>
      </w:r>
    </w:p>
    <w:p w14:paraId="6FCE0615" w14:textId="77777777" w:rsidR="000D7ABC"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t>The Kyrgyz Republic has taken steps to establish a foundational policy framework to support green finance, reflecting its commitment to sustainable development and aligning with global climate goals. Green finance is inherently interdisciplinary, bridging multiple sectors and areas of national development. Consequently, the policy framework for green finance in Kyrgyzstan must be considered as a nexus between national priorities, climate related, green economy, financial regulation frameworks.</w:t>
      </w:r>
    </w:p>
    <w:p w14:paraId="3068BEC5" w14:textId="77777777" w:rsidR="000D7ABC" w:rsidRDefault="000D7ABC" w:rsidP="000D7ABC">
      <w:pPr>
        <w:pStyle w:val="ListParagraph"/>
        <w:spacing w:before="120" w:after="120" w:line="240" w:lineRule="auto"/>
        <w:ind w:left="360" w:right="-29"/>
        <w:jc w:val="both"/>
        <w:rPr>
          <w:rFonts w:ascii="Arial" w:hAnsi="Arial" w:cs="Arial"/>
          <w:sz w:val="20"/>
          <w:szCs w:val="20"/>
        </w:rPr>
      </w:pPr>
    </w:p>
    <w:p w14:paraId="01452466" w14:textId="77777777" w:rsidR="000D7ABC"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t xml:space="preserve">At the highest political level, Kyrgyzstan has committed to achieve carbon neutrality by 2050, as stated by the President of the Kyrgyz Republic in his message at the Glasgow Climate Summit. Currently, UNDP and Deutsche Gesellschaft für Internationale Zusammenarbeit (GIZ) are supporting the country in developing the Long-term Strategy for Achieving Carbon Neutrality by 2050. </w:t>
      </w:r>
    </w:p>
    <w:p w14:paraId="54921028" w14:textId="77777777" w:rsidR="000D7ABC" w:rsidRPr="000D7ABC" w:rsidRDefault="000D7ABC" w:rsidP="000D7ABC">
      <w:pPr>
        <w:pStyle w:val="ListParagraph"/>
        <w:rPr>
          <w:rFonts w:ascii="Arial" w:hAnsi="Arial" w:cs="Arial"/>
          <w:sz w:val="20"/>
          <w:szCs w:val="20"/>
        </w:rPr>
      </w:pPr>
    </w:p>
    <w:p w14:paraId="3A96CE17" w14:textId="77777777" w:rsidR="000D7ABC"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lastRenderedPageBreak/>
        <w:t>The foundation of the green finance policy framework is embedded in overarching national strategies. The National Sustainable Development Strategy 2018-2040</w:t>
      </w:r>
      <w:r w:rsidR="00BD0827">
        <w:rPr>
          <w:rStyle w:val="FootnoteReference"/>
          <w:rFonts w:ascii="Arial" w:hAnsi="Arial" w:cs="Arial"/>
          <w:sz w:val="20"/>
          <w:szCs w:val="20"/>
        </w:rPr>
        <w:footnoteReference w:id="56"/>
      </w:r>
      <w:r w:rsidRPr="000D7ABC">
        <w:rPr>
          <w:rFonts w:ascii="Arial" w:hAnsi="Arial" w:cs="Arial"/>
          <w:sz w:val="20"/>
          <w:szCs w:val="20"/>
        </w:rPr>
        <w:t xml:space="preserve"> and the National Development Program until 2026</w:t>
      </w:r>
      <w:r w:rsidR="00BD0827">
        <w:rPr>
          <w:rStyle w:val="FootnoteReference"/>
          <w:rFonts w:ascii="Arial" w:hAnsi="Arial" w:cs="Arial"/>
          <w:sz w:val="20"/>
          <w:szCs w:val="20"/>
        </w:rPr>
        <w:footnoteReference w:id="57"/>
      </w:r>
      <w:r w:rsidRPr="000D7ABC">
        <w:rPr>
          <w:rFonts w:ascii="Arial" w:hAnsi="Arial" w:cs="Arial"/>
          <w:sz w:val="20"/>
          <w:szCs w:val="20"/>
        </w:rPr>
        <w:t xml:space="preserve"> outline the country's long-term and medium-term visions, respectively, for economic growth integrated with environmental sustainability. These strategies emphasize climate resilience, low-carbon development, and the adoption of green technologies. While these documents articulate ambitious goals, they remain broad in scope, and specific operational measures for green finance are still evolving.</w:t>
      </w:r>
    </w:p>
    <w:p w14:paraId="466D2498" w14:textId="77777777" w:rsidR="000D7ABC" w:rsidRPr="000D7ABC" w:rsidRDefault="000D7ABC" w:rsidP="000D7ABC">
      <w:pPr>
        <w:pStyle w:val="ListParagraph"/>
        <w:rPr>
          <w:rFonts w:ascii="Arial" w:hAnsi="Arial" w:cs="Arial"/>
          <w:sz w:val="20"/>
          <w:szCs w:val="20"/>
        </w:rPr>
      </w:pPr>
    </w:p>
    <w:p w14:paraId="11B05B42" w14:textId="576D3175" w:rsidR="003952B7"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t xml:space="preserve">A central component of the climate policy framework is the Kyrgyz Republic’s </w:t>
      </w:r>
      <w:r w:rsidRPr="007523FE">
        <w:rPr>
          <w:rFonts w:ascii="Arial" w:hAnsi="Arial" w:cs="Arial"/>
          <w:b/>
          <w:bCs/>
          <w:sz w:val="20"/>
          <w:szCs w:val="20"/>
        </w:rPr>
        <w:t>Updated Nationally Determined Contributions</w:t>
      </w:r>
      <w:r w:rsidR="007523FE">
        <w:rPr>
          <w:rFonts w:ascii="Arial" w:hAnsi="Arial" w:cs="Arial"/>
          <w:b/>
          <w:bCs/>
          <w:sz w:val="20"/>
          <w:szCs w:val="20"/>
        </w:rPr>
        <w:t xml:space="preserve"> (NDC)</w:t>
      </w:r>
      <w:r w:rsidR="007523FE">
        <w:rPr>
          <w:rStyle w:val="FootnoteReference"/>
          <w:rFonts w:ascii="Arial" w:hAnsi="Arial" w:cs="Arial"/>
          <w:sz w:val="20"/>
          <w:szCs w:val="20"/>
        </w:rPr>
        <w:t xml:space="preserve"> </w:t>
      </w:r>
      <w:r w:rsidR="00BD0827">
        <w:rPr>
          <w:rStyle w:val="FootnoteReference"/>
          <w:rFonts w:ascii="Arial" w:hAnsi="Arial" w:cs="Arial"/>
          <w:sz w:val="20"/>
          <w:szCs w:val="20"/>
        </w:rPr>
        <w:footnoteReference w:id="58"/>
      </w:r>
      <w:r w:rsidRPr="000D7ABC">
        <w:rPr>
          <w:rFonts w:ascii="Arial" w:hAnsi="Arial" w:cs="Arial"/>
          <w:sz w:val="20"/>
          <w:szCs w:val="20"/>
        </w:rPr>
        <w:t>, submitted to the UNFCCC in 2021. The updated NDC set</w:t>
      </w:r>
      <w:r w:rsidR="008C26A2" w:rsidRPr="000D7ABC">
        <w:rPr>
          <w:rFonts w:ascii="Arial" w:hAnsi="Arial" w:cs="Arial"/>
          <w:sz w:val="20"/>
          <w:szCs w:val="20"/>
        </w:rPr>
        <w:t>s</w:t>
      </w:r>
      <w:r w:rsidRPr="000D7ABC">
        <w:rPr>
          <w:rFonts w:ascii="Arial" w:hAnsi="Arial" w:cs="Arial"/>
          <w:sz w:val="20"/>
          <w:szCs w:val="20"/>
        </w:rPr>
        <w:t xml:space="preserve"> an ambitious target to reduce GHG emissions by 43.62% by 2030 compared to 1990 levels, conditional on international support. </w:t>
      </w:r>
      <w:r w:rsidR="00E940F1" w:rsidRPr="00CA1FF2">
        <w:rPr>
          <w:rFonts w:ascii="Arial" w:hAnsi="Arial" w:cs="Arial"/>
          <w:sz w:val="20"/>
          <w:szCs w:val="20"/>
        </w:rPr>
        <w:t>The NDC states that strengthening of the comprehensive expertise at the national level on climate issues, including climate economics</w:t>
      </w:r>
      <w:r w:rsidR="004A7406" w:rsidRPr="00CA1FF2">
        <w:rPr>
          <w:rFonts w:ascii="Arial" w:hAnsi="Arial" w:cs="Arial"/>
          <w:sz w:val="20"/>
          <w:szCs w:val="20"/>
        </w:rPr>
        <w:t xml:space="preserve"> and</w:t>
      </w:r>
      <w:r w:rsidR="00E940F1" w:rsidRPr="00CA1FF2">
        <w:rPr>
          <w:rFonts w:ascii="Arial" w:hAnsi="Arial" w:cs="Arial"/>
          <w:sz w:val="20"/>
          <w:szCs w:val="20"/>
        </w:rPr>
        <w:t xml:space="preserve"> climate finance is required</w:t>
      </w:r>
      <w:r w:rsidR="004A7406" w:rsidRPr="00CA1FF2">
        <w:rPr>
          <w:rFonts w:ascii="Arial" w:hAnsi="Arial" w:cs="Arial"/>
          <w:sz w:val="20"/>
          <w:szCs w:val="20"/>
        </w:rPr>
        <w:t>.</w:t>
      </w:r>
      <w:r w:rsidR="00E940F1" w:rsidRPr="00CA1FF2">
        <w:rPr>
          <w:rFonts w:ascii="Arial" w:hAnsi="Arial" w:cs="Arial"/>
          <w:sz w:val="20"/>
          <w:szCs w:val="20"/>
        </w:rPr>
        <w:t xml:space="preserve"> </w:t>
      </w:r>
      <w:r w:rsidRPr="000D7ABC">
        <w:rPr>
          <w:rFonts w:ascii="Arial" w:hAnsi="Arial" w:cs="Arial"/>
          <w:sz w:val="20"/>
          <w:szCs w:val="20"/>
        </w:rPr>
        <w:t>The Kyrgyz Republic is advancing its climate adaptation efforts through the NAP</w:t>
      </w:r>
      <w:r w:rsidR="008C26A2" w:rsidRPr="000D7ABC">
        <w:rPr>
          <w:rFonts w:ascii="Arial" w:hAnsi="Arial" w:cs="Arial"/>
          <w:sz w:val="20"/>
          <w:szCs w:val="20"/>
        </w:rPr>
        <w:t xml:space="preserve"> </w:t>
      </w:r>
      <w:r w:rsidRPr="000D7ABC">
        <w:rPr>
          <w:rFonts w:ascii="Arial" w:hAnsi="Arial" w:cs="Arial"/>
          <w:sz w:val="20"/>
          <w:szCs w:val="20"/>
        </w:rPr>
        <w:t>process</w:t>
      </w:r>
      <w:r w:rsidR="00BD0827">
        <w:rPr>
          <w:rStyle w:val="FootnoteReference"/>
          <w:rFonts w:ascii="Arial" w:hAnsi="Arial" w:cs="Arial"/>
          <w:sz w:val="20"/>
          <w:szCs w:val="20"/>
        </w:rPr>
        <w:footnoteReference w:id="59"/>
      </w:r>
      <w:r w:rsidRPr="000D7ABC">
        <w:rPr>
          <w:rFonts w:ascii="Arial" w:hAnsi="Arial" w:cs="Arial"/>
          <w:sz w:val="20"/>
          <w:szCs w:val="20"/>
        </w:rPr>
        <w:t xml:space="preserve">, supported by UNDP and other partners. </w:t>
      </w:r>
    </w:p>
    <w:p w14:paraId="35A9B3A4" w14:textId="77777777" w:rsidR="003952B7" w:rsidRPr="003952B7" w:rsidRDefault="003952B7" w:rsidP="003952B7">
      <w:pPr>
        <w:pStyle w:val="ListParagraph"/>
        <w:rPr>
          <w:rFonts w:ascii="Arial" w:hAnsi="Arial" w:cs="Arial"/>
          <w:sz w:val="20"/>
          <w:szCs w:val="20"/>
        </w:rPr>
      </w:pPr>
    </w:p>
    <w:p w14:paraId="7AFE39B7" w14:textId="7E9A5869" w:rsidR="000D7ABC"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t xml:space="preserve">The </w:t>
      </w:r>
      <w:r w:rsidRPr="00DF3EB9">
        <w:rPr>
          <w:rFonts w:ascii="Arial" w:hAnsi="Arial" w:cs="Arial"/>
          <w:b/>
          <w:bCs/>
          <w:sz w:val="20"/>
          <w:szCs w:val="20"/>
        </w:rPr>
        <w:t>NAP</w:t>
      </w:r>
      <w:r w:rsidRPr="000D7ABC">
        <w:rPr>
          <w:rFonts w:ascii="Arial" w:hAnsi="Arial" w:cs="Arial"/>
          <w:sz w:val="20"/>
          <w:szCs w:val="20"/>
        </w:rPr>
        <w:t xml:space="preserve"> aims to integrate climate risks into national and local planning processes, particularly in agriculture, forest and biodiversity, climate resilient areas and green cities, healthcare, reduction of emergency risks caused by climate change, energy, water resources, adaption reporting system.</w:t>
      </w:r>
      <w:r w:rsidR="00420EB3">
        <w:rPr>
          <w:rFonts w:ascii="Arial" w:hAnsi="Arial" w:cs="Arial"/>
          <w:sz w:val="20"/>
          <w:szCs w:val="20"/>
        </w:rPr>
        <w:t xml:space="preserve"> Drafted NAP</w:t>
      </w:r>
      <w:r w:rsidR="00967E63">
        <w:rPr>
          <w:rFonts w:ascii="Arial" w:hAnsi="Arial" w:cs="Arial"/>
          <w:sz w:val="20"/>
          <w:szCs w:val="20"/>
        </w:rPr>
        <w:t xml:space="preserve"> (to be adopted in early 2025</w:t>
      </w:r>
      <w:r w:rsidR="00A454F8">
        <w:rPr>
          <w:rFonts w:ascii="Arial" w:hAnsi="Arial" w:cs="Arial"/>
          <w:sz w:val="20"/>
          <w:szCs w:val="20"/>
        </w:rPr>
        <w:t>)</w:t>
      </w:r>
      <w:r w:rsidR="00420EB3">
        <w:rPr>
          <w:rFonts w:ascii="Arial" w:hAnsi="Arial" w:cs="Arial"/>
          <w:sz w:val="20"/>
          <w:szCs w:val="20"/>
        </w:rPr>
        <w:t xml:space="preserve"> </w:t>
      </w:r>
      <w:r w:rsidR="00DE3420">
        <w:rPr>
          <w:rFonts w:ascii="Arial" w:hAnsi="Arial" w:cs="Arial"/>
          <w:sz w:val="20"/>
          <w:szCs w:val="20"/>
        </w:rPr>
        <w:t>acknowledges a crucial role of p</w:t>
      </w:r>
      <w:r w:rsidR="00DE3420" w:rsidRPr="00CA1FF2">
        <w:rPr>
          <w:rFonts w:ascii="Arial" w:hAnsi="Arial" w:cs="Arial"/>
          <w:sz w:val="20"/>
          <w:szCs w:val="20"/>
        </w:rPr>
        <w:t>rivate companies and banks in advancing climate projects by financing climate-friendly technologies and driving innovation in sustainability.</w:t>
      </w:r>
      <w:r w:rsidR="008660B0" w:rsidRPr="00CA1FF2">
        <w:rPr>
          <w:rFonts w:ascii="Arial" w:hAnsi="Arial" w:cs="Arial"/>
          <w:sz w:val="20"/>
          <w:szCs w:val="20"/>
        </w:rPr>
        <w:t xml:space="preserve"> </w:t>
      </w:r>
      <w:r w:rsidR="00603F03" w:rsidRPr="00CA1FF2">
        <w:rPr>
          <w:rFonts w:ascii="Arial" w:hAnsi="Arial" w:cs="Arial"/>
          <w:sz w:val="20"/>
          <w:szCs w:val="20"/>
        </w:rPr>
        <w:t>The government should foster conditions that encourage private sector involvement in climate change adaptation by implementing financial mechanisms, promoting the development of public-private partnerships, and supporting other collaborative initiatives.</w:t>
      </w:r>
      <w:r w:rsidR="00387C18" w:rsidRPr="00CA1FF2">
        <w:rPr>
          <w:rFonts w:ascii="Arial" w:hAnsi="Arial" w:cs="Arial"/>
          <w:sz w:val="20"/>
          <w:szCs w:val="20"/>
        </w:rPr>
        <w:t xml:space="preserve"> </w:t>
      </w:r>
    </w:p>
    <w:p w14:paraId="05F91B05" w14:textId="77777777" w:rsidR="000D7ABC" w:rsidRPr="000D7ABC" w:rsidRDefault="000D7ABC" w:rsidP="000D7ABC">
      <w:pPr>
        <w:pStyle w:val="ListParagraph"/>
        <w:rPr>
          <w:rFonts w:ascii="Arial" w:hAnsi="Arial" w:cs="Arial"/>
          <w:sz w:val="20"/>
          <w:szCs w:val="20"/>
        </w:rPr>
      </w:pPr>
    </w:p>
    <w:p w14:paraId="467E1863" w14:textId="65F94185" w:rsidR="000D7ABC"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t xml:space="preserve">The </w:t>
      </w:r>
      <w:r w:rsidRPr="00DF3EB9">
        <w:rPr>
          <w:rFonts w:ascii="Arial" w:hAnsi="Arial" w:cs="Arial"/>
          <w:b/>
          <w:bCs/>
          <w:sz w:val="20"/>
          <w:szCs w:val="20"/>
        </w:rPr>
        <w:t>Green Economy Development Program</w:t>
      </w:r>
      <w:r w:rsidRPr="000D7ABC">
        <w:rPr>
          <w:rFonts w:ascii="Arial" w:hAnsi="Arial" w:cs="Arial"/>
          <w:sz w:val="20"/>
          <w:szCs w:val="20"/>
        </w:rPr>
        <w:t xml:space="preserve"> (2019-2023)</w:t>
      </w:r>
      <w:r w:rsidR="00BD0827">
        <w:rPr>
          <w:rStyle w:val="FootnoteReference"/>
          <w:rFonts w:ascii="Arial" w:hAnsi="Arial" w:cs="Arial"/>
          <w:sz w:val="20"/>
          <w:szCs w:val="20"/>
        </w:rPr>
        <w:footnoteReference w:id="60"/>
      </w:r>
      <w:r w:rsidRPr="000D7ABC">
        <w:rPr>
          <w:rFonts w:ascii="Arial" w:hAnsi="Arial" w:cs="Arial"/>
          <w:sz w:val="20"/>
          <w:szCs w:val="20"/>
        </w:rPr>
        <w:t xml:space="preserve"> marked an important step in transitioning to sustainable economic practices. The program identified priority areas such as energy, agriculture, waste management, transport, and urban development, aiming to integrate green economy principles into these sectors. However, despite some achievements and efforts made, a radical transformation of the economy has not been achieved due to unfolded COVID-19, and its subsequent economic impact. A new phase of this program, covering 2024</w:t>
      </w:r>
      <w:r w:rsidR="00DF6C84" w:rsidRPr="000D7ABC">
        <w:rPr>
          <w:rFonts w:ascii="Arial" w:hAnsi="Arial" w:cs="Arial"/>
          <w:sz w:val="20"/>
          <w:szCs w:val="20"/>
        </w:rPr>
        <w:t>-</w:t>
      </w:r>
      <w:r w:rsidRPr="000D7ABC">
        <w:rPr>
          <w:rFonts w:ascii="Arial" w:hAnsi="Arial" w:cs="Arial"/>
          <w:sz w:val="20"/>
          <w:szCs w:val="20"/>
        </w:rPr>
        <w:t xml:space="preserve">2028, is under preparation, </w:t>
      </w:r>
      <w:r w:rsidR="00DF3EB9" w:rsidRPr="000D7ABC">
        <w:rPr>
          <w:rFonts w:ascii="Arial" w:hAnsi="Arial" w:cs="Arial"/>
          <w:sz w:val="20"/>
          <w:szCs w:val="20"/>
        </w:rPr>
        <w:t>and</w:t>
      </w:r>
      <w:r w:rsidRPr="000D7ABC">
        <w:rPr>
          <w:rFonts w:ascii="Arial" w:hAnsi="Arial" w:cs="Arial"/>
          <w:sz w:val="20"/>
          <w:szCs w:val="20"/>
        </w:rPr>
        <w:t xml:space="preserve"> expected </w:t>
      </w:r>
      <w:r w:rsidR="00DF3EB9" w:rsidRPr="000D7ABC">
        <w:rPr>
          <w:rFonts w:ascii="Arial" w:hAnsi="Arial" w:cs="Arial"/>
          <w:sz w:val="20"/>
          <w:szCs w:val="20"/>
        </w:rPr>
        <w:t>to be</w:t>
      </w:r>
      <w:r w:rsidRPr="000D7ABC">
        <w:rPr>
          <w:rFonts w:ascii="Arial" w:hAnsi="Arial" w:cs="Arial"/>
          <w:sz w:val="20"/>
          <w:szCs w:val="20"/>
        </w:rPr>
        <w:t xml:space="preserve"> adopted by the end of 2024. </w:t>
      </w:r>
      <w:r w:rsidR="00A315E3">
        <w:rPr>
          <w:rFonts w:ascii="Arial" w:hAnsi="Arial" w:cs="Arial"/>
          <w:sz w:val="20"/>
          <w:szCs w:val="20"/>
        </w:rPr>
        <w:t xml:space="preserve">The drafted program </w:t>
      </w:r>
      <w:r w:rsidR="00C34053">
        <w:rPr>
          <w:rFonts w:ascii="Arial" w:hAnsi="Arial" w:cs="Arial"/>
          <w:sz w:val="20"/>
          <w:szCs w:val="20"/>
        </w:rPr>
        <w:t xml:space="preserve">prioritizes adaptation to climate change </w:t>
      </w:r>
      <w:r w:rsidR="002A5F8C">
        <w:rPr>
          <w:rFonts w:ascii="Arial" w:hAnsi="Arial" w:cs="Arial"/>
          <w:sz w:val="20"/>
          <w:szCs w:val="20"/>
        </w:rPr>
        <w:t>to preserve and restore the</w:t>
      </w:r>
      <w:r w:rsidR="00AA2E2F">
        <w:rPr>
          <w:rFonts w:ascii="Arial" w:hAnsi="Arial" w:cs="Arial"/>
          <w:sz w:val="20"/>
          <w:szCs w:val="20"/>
        </w:rPr>
        <w:t xml:space="preserve"> integrity and sustainability of ecosystems through improved management, accounting for natural capital, economic and social measures to ensure sustainable development, and equitable access to natural resources to all. </w:t>
      </w:r>
      <w:r w:rsidRPr="000D7ABC">
        <w:rPr>
          <w:rFonts w:ascii="Arial" w:hAnsi="Arial" w:cs="Arial"/>
          <w:sz w:val="20"/>
          <w:szCs w:val="20"/>
        </w:rPr>
        <w:t>The draft Program prioritizes the following sectors: green energy, energy efficiency, green agriculture, sustainable extractive industry, low-emission transportation, sustainable tourism</w:t>
      </w:r>
      <w:r w:rsidR="000D7ABC" w:rsidRPr="000D7ABC">
        <w:rPr>
          <w:rFonts w:ascii="Arial" w:hAnsi="Arial" w:cs="Arial"/>
          <w:sz w:val="20"/>
          <w:szCs w:val="20"/>
        </w:rPr>
        <w:t>, and waste</w:t>
      </w:r>
      <w:r w:rsidRPr="000D7ABC">
        <w:rPr>
          <w:rFonts w:ascii="Arial" w:hAnsi="Arial" w:cs="Arial"/>
          <w:sz w:val="20"/>
          <w:szCs w:val="20"/>
        </w:rPr>
        <w:t xml:space="preserve"> management. Additionally, the draft Program stipulates cross-cutting areas to support transition to inclusive green economy through sustainable financing, fiscal stimulation and sustainable public procurement. </w:t>
      </w:r>
    </w:p>
    <w:p w14:paraId="6E7A681A" w14:textId="77777777" w:rsidR="000D7ABC" w:rsidRPr="000D7ABC" w:rsidRDefault="000D7ABC" w:rsidP="000D7ABC">
      <w:pPr>
        <w:pStyle w:val="ListParagraph"/>
        <w:rPr>
          <w:rFonts w:ascii="Arial" w:hAnsi="Arial" w:cs="Arial"/>
          <w:sz w:val="20"/>
          <w:szCs w:val="20"/>
        </w:rPr>
      </w:pPr>
    </w:p>
    <w:p w14:paraId="305C2AB1" w14:textId="77777777" w:rsidR="000D7ABC"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t xml:space="preserve">The country provides a range of fiscal incentives to promote the development of renewable energy projects. Among the key measures is the exemption from profit tax for new producers of electricity, heat, gas, and biofuels derived from renewable energy sources. In addition, renewable energy projects benefit from tax advantages on the import of specialized equipment. Equipment imported for the construction of renewable energy installations is exempt from </w:t>
      </w:r>
      <w:r w:rsidR="001C7538" w:rsidRPr="000D7ABC">
        <w:rPr>
          <w:rFonts w:ascii="Arial" w:hAnsi="Arial" w:cs="Arial"/>
          <w:sz w:val="20"/>
          <w:szCs w:val="20"/>
        </w:rPr>
        <w:t>v</w:t>
      </w:r>
      <w:r w:rsidRPr="000D7ABC">
        <w:rPr>
          <w:rFonts w:ascii="Arial" w:hAnsi="Arial" w:cs="Arial"/>
          <w:sz w:val="20"/>
          <w:szCs w:val="20"/>
        </w:rPr>
        <w:t>alue-</w:t>
      </w:r>
      <w:r w:rsidR="001C7538" w:rsidRPr="000D7ABC">
        <w:rPr>
          <w:rFonts w:ascii="Arial" w:hAnsi="Arial" w:cs="Arial"/>
          <w:sz w:val="20"/>
          <w:szCs w:val="20"/>
        </w:rPr>
        <w:t>a</w:t>
      </w:r>
      <w:r w:rsidRPr="000D7ABC">
        <w:rPr>
          <w:rFonts w:ascii="Arial" w:hAnsi="Arial" w:cs="Arial"/>
          <w:sz w:val="20"/>
          <w:szCs w:val="20"/>
        </w:rPr>
        <w:t xml:space="preserve">dded </w:t>
      </w:r>
      <w:r w:rsidR="001C7538" w:rsidRPr="000D7ABC">
        <w:rPr>
          <w:rFonts w:ascii="Arial" w:hAnsi="Arial" w:cs="Arial"/>
          <w:sz w:val="20"/>
          <w:szCs w:val="20"/>
        </w:rPr>
        <w:t>t</w:t>
      </w:r>
      <w:r w:rsidRPr="000D7ABC">
        <w:rPr>
          <w:rFonts w:ascii="Arial" w:hAnsi="Arial" w:cs="Arial"/>
          <w:sz w:val="20"/>
          <w:szCs w:val="20"/>
        </w:rPr>
        <w:t xml:space="preserve">ax. Furthermore, the customs duty on specific renewable energy </w:t>
      </w:r>
      <w:r w:rsidR="000D7ABC" w:rsidRPr="000D7ABC">
        <w:rPr>
          <w:rFonts w:ascii="Arial" w:hAnsi="Arial" w:cs="Arial"/>
          <w:sz w:val="20"/>
          <w:szCs w:val="20"/>
        </w:rPr>
        <w:t>equipment</w:t>
      </w:r>
      <w:r w:rsidRPr="000D7ABC">
        <w:rPr>
          <w:rFonts w:ascii="Arial" w:hAnsi="Arial" w:cs="Arial"/>
          <w:sz w:val="20"/>
          <w:szCs w:val="20"/>
        </w:rPr>
        <w:t xml:space="preserve"> is waived under the unified customs tariff of the Eurasian Economic Union (EAEU). Incentives also extend to green transport technologies. The government offers VAT and customs tariff exemptions for quota-based imports of electric vehicles, which is being extended on yearly basis </w:t>
      </w:r>
      <w:r w:rsidR="000D7ABC" w:rsidRPr="000D7ABC">
        <w:rPr>
          <w:rFonts w:ascii="Arial" w:hAnsi="Arial" w:cs="Arial"/>
          <w:sz w:val="20"/>
          <w:szCs w:val="20"/>
        </w:rPr>
        <w:t>from</w:t>
      </w:r>
      <w:r w:rsidRPr="000D7ABC">
        <w:rPr>
          <w:rFonts w:ascii="Arial" w:hAnsi="Arial" w:cs="Arial"/>
          <w:sz w:val="20"/>
          <w:szCs w:val="20"/>
        </w:rPr>
        <w:t xml:space="preserve"> 2020. The existing fiscal incentives will be supported by newly developed and soon to be adopted Green Taxonomy, that includes priority sector technologies as per national priorities. </w:t>
      </w:r>
    </w:p>
    <w:p w14:paraId="5ADE91A7" w14:textId="77777777" w:rsidR="000D7ABC" w:rsidRPr="000D7ABC" w:rsidRDefault="000D7ABC" w:rsidP="000D7ABC">
      <w:pPr>
        <w:pStyle w:val="ListParagraph"/>
        <w:rPr>
          <w:rFonts w:ascii="Arial" w:hAnsi="Arial" w:cs="Arial"/>
          <w:sz w:val="20"/>
          <w:szCs w:val="20"/>
        </w:rPr>
      </w:pPr>
    </w:p>
    <w:p w14:paraId="00CBE5DA" w14:textId="77777777" w:rsidR="000D7ABC"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lastRenderedPageBreak/>
        <w:t xml:space="preserve">The monetary and financial sector regulations in the Kyrgyz Republic are designed to ensure macroeconomic stability, safeguard the integrity of the financial system, and promote economic growth through financial inclusion and efficient resource allocation. These regulations are primarily governed by the </w:t>
      </w:r>
      <w:r w:rsidRPr="00240747">
        <w:rPr>
          <w:rFonts w:ascii="Arial" w:hAnsi="Arial" w:cs="Arial"/>
          <w:b/>
          <w:bCs/>
          <w:sz w:val="20"/>
          <w:szCs w:val="20"/>
        </w:rPr>
        <w:t>National Bank of the Kyrgyz Republic</w:t>
      </w:r>
      <w:r w:rsidRPr="000D7ABC">
        <w:rPr>
          <w:rFonts w:ascii="Arial" w:hAnsi="Arial" w:cs="Arial"/>
          <w:sz w:val="20"/>
          <w:szCs w:val="20"/>
        </w:rPr>
        <w:t>, which operates as the central monetary authority, regulator, and supervisor of financial institutions. The monetary policy framework is anchored in the Law "On the National Bank of the Kyrgyz Republic, Banks, and Banking Activities," which defines the NBKR’s mandate to maintain price stability as its core objective</w:t>
      </w:r>
      <w:r w:rsidR="001C7538">
        <w:rPr>
          <w:rStyle w:val="FootnoteReference"/>
          <w:rFonts w:ascii="Arial" w:hAnsi="Arial" w:cs="Arial"/>
          <w:sz w:val="20"/>
          <w:szCs w:val="20"/>
        </w:rPr>
        <w:footnoteReference w:id="61"/>
      </w:r>
      <w:r w:rsidRPr="000D7ABC">
        <w:rPr>
          <w:rFonts w:ascii="Arial" w:hAnsi="Arial" w:cs="Arial"/>
          <w:sz w:val="20"/>
          <w:szCs w:val="20"/>
        </w:rPr>
        <w:t xml:space="preserve">. </w:t>
      </w:r>
    </w:p>
    <w:p w14:paraId="293D9358" w14:textId="77777777" w:rsidR="000D7ABC" w:rsidRPr="000D7ABC" w:rsidRDefault="000D7ABC" w:rsidP="000D7ABC">
      <w:pPr>
        <w:pStyle w:val="ListParagraph"/>
        <w:rPr>
          <w:rFonts w:ascii="Arial" w:hAnsi="Arial" w:cs="Arial"/>
          <w:sz w:val="20"/>
          <w:szCs w:val="20"/>
        </w:rPr>
      </w:pPr>
    </w:p>
    <w:p w14:paraId="227AC9C6" w14:textId="77777777" w:rsidR="000D7ABC"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t xml:space="preserve">The prudential regulatory framework is governed by the </w:t>
      </w:r>
      <w:r w:rsidRPr="00E04458">
        <w:rPr>
          <w:rFonts w:ascii="Arial" w:hAnsi="Arial" w:cs="Arial"/>
          <w:b/>
          <w:bCs/>
          <w:sz w:val="20"/>
          <w:szCs w:val="20"/>
        </w:rPr>
        <w:t>Banking Code</w:t>
      </w:r>
      <w:r w:rsidR="001C7538">
        <w:rPr>
          <w:rStyle w:val="FootnoteReference"/>
          <w:rFonts w:ascii="Arial" w:hAnsi="Arial" w:cs="Arial"/>
          <w:sz w:val="20"/>
          <w:szCs w:val="20"/>
        </w:rPr>
        <w:footnoteReference w:id="62"/>
      </w:r>
      <w:r w:rsidRPr="000D7ABC">
        <w:rPr>
          <w:rFonts w:ascii="Arial" w:hAnsi="Arial" w:cs="Arial"/>
          <w:sz w:val="20"/>
          <w:szCs w:val="20"/>
        </w:rPr>
        <w:t xml:space="preserve"> and accompanying </w:t>
      </w:r>
      <w:r w:rsidRPr="00E04458">
        <w:rPr>
          <w:rFonts w:ascii="Arial" w:hAnsi="Arial" w:cs="Arial"/>
          <w:b/>
          <w:bCs/>
          <w:sz w:val="20"/>
          <w:szCs w:val="20"/>
        </w:rPr>
        <w:t>NBKR</w:t>
      </w:r>
      <w:r w:rsidRPr="000D7ABC">
        <w:rPr>
          <w:rFonts w:ascii="Arial" w:hAnsi="Arial" w:cs="Arial"/>
          <w:sz w:val="20"/>
          <w:szCs w:val="20"/>
        </w:rPr>
        <w:t xml:space="preserve"> resolutions that establish rules for capital adequacy, liquidity management, and risk assessment. These regulations align with international standards, including Basel II and III. The Prudential Standards for Banking Institutions require banks to meet minimum capital requirements and maintain risk-weighted asset thresholds, while periodic stress tests are conducted to evaluate the sector's ability to withstand economic shocks.</w:t>
      </w:r>
    </w:p>
    <w:p w14:paraId="5B9B7A48" w14:textId="77777777" w:rsidR="000D7ABC" w:rsidRPr="000D7ABC" w:rsidRDefault="000D7ABC" w:rsidP="000D7ABC">
      <w:pPr>
        <w:pStyle w:val="ListParagraph"/>
        <w:rPr>
          <w:rFonts w:ascii="Arial" w:hAnsi="Arial" w:cs="Arial"/>
          <w:sz w:val="20"/>
          <w:szCs w:val="20"/>
        </w:rPr>
      </w:pPr>
    </w:p>
    <w:p w14:paraId="65601BFF" w14:textId="390EC3C3" w:rsidR="00FC0B03" w:rsidRDefault="0022290A">
      <w:pPr>
        <w:pStyle w:val="ListParagraph"/>
        <w:numPr>
          <w:ilvl w:val="0"/>
          <w:numId w:val="29"/>
        </w:numPr>
        <w:spacing w:before="120" w:after="120" w:line="240" w:lineRule="auto"/>
        <w:ind w:right="-29"/>
        <w:jc w:val="both"/>
        <w:rPr>
          <w:rFonts w:ascii="Arial" w:hAnsi="Arial" w:cs="Arial"/>
          <w:sz w:val="20"/>
          <w:szCs w:val="20"/>
        </w:rPr>
      </w:pPr>
      <w:r w:rsidRPr="000D7ABC">
        <w:rPr>
          <w:rFonts w:ascii="Arial" w:hAnsi="Arial" w:cs="Arial"/>
          <w:sz w:val="20"/>
          <w:szCs w:val="20"/>
        </w:rPr>
        <w:t>The regulatory landscape in the Kyrgyz Republic is gradually evolving to incorporate ESG factors as part of its broader financial oversight framework. While comprehensive ESG-specific regulations are still in the developmental stages, NBKR has taken initial steps to encourage financial institutions to consider ESG factors in their operations. A significant milestone in this direction is the issuance of Recommendations for Identifying, Monitoring, and Disclosing Financial Risks Related to Sustainable Financing Factors (ESG Risks) by the NBKR. These recommendations aim to enhance the transparency and accountability of financial institutions by encouraging the integration of ESG considerations into their risk management processes and financial reporting. While these guidelines are non-binding, they represent a foundational step toward aligning the financial sector with global trends in sustainable finance.</w:t>
      </w:r>
      <w:r w:rsidR="008701EF">
        <w:rPr>
          <w:rFonts w:ascii="Arial" w:hAnsi="Arial" w:cs="Arial"/>
          <w:sz w:val="20"/>
          <w:szCs w:val="20"/>
        </w:rPr>
        <w:t xml:space="preserve"> </w:t>
      </w:r>
    </w:p>
    <w:p w14:paraId="65E9A19D" w14:textId="77777777" w:rsidR="006E39A9" w:rsidRPr="00CA1FF2" w:rsidRDefault="006E39A9" w:rsidP="00CA1FF2">
      <w:pPr>
        <w:pStyle w:val="ListParagraph"/>
        <w:spacing w:before="120" w:after="120" w:line="240" w:lineRule="auto"/>
        <w:ind w:left="360" w:right="-29"/>
        <w:jc w:val="both"/>
        <w:rPr>
          <w:rFonts w:ascii="Arial" w:hAnsi="Arial" w:cs="Arial"/>
          <w:sz w:val="20"/>
          <w:szCs w:val="20"/>
        </w:rPr>
      </w:pPr>
    </w:p>
    <w:p w14:paraId="6853F04E" w14:textId="225FA77D" w:rsidR="00212567" w:rsidRPr="00CA1FF2" w:rsidRDefault="00AE387C" w:rsidP="008701EF">
      <w:pPr>
        <w:pStyle w:val="ListParagraph"/>
        <w:numPr>
          <w:ilvl w:val="0"/>
          <w:numId w:val="29"/>
        </w:numPr>
        <w:spacing w:before="120" w:after="120" w:line="240" w:lineRule="auto"/>
        <w:ind w:right="-29"/>
        <w:jc w:val="both"/>
        <w:rPr>
          <w:rFonts w:ascii="Arial" w:hAnsi="Arial" w:cs="Arial"/>
          <w:sz w:val="20"/>
          <w:szCs w:val="20"/>
        </w:rPr>
      </w:pPr>
      <w:r w:rsidRPr="00CA1FF2">
        <w:rPr>
          <w:rFonts w:ascii="Arial" w:hAnsi="Arial" w:cs="Arial"/>
          <w:sz w:val="20"/>
          <w:szCs w:val="20"/>
        </w:rPr>
        <w:t xml:space="preserve">In this regard, </w:t>
      </w:r>
      <w:r w:rsidR="00F8424C" w:rsidRPr="00CA1FF2">
        <w:rPr>
          <w:rFonts w:ascii="Arial" w:hAnsi="Arial" w:cs="Arial"/>
          <w:sz w:val="20"/>
          <w:szCs w:val="20"/>
        </w:rPr>
        <w:t>i</w:t>
      </w:r>
      <w:r w:rsidR="00B64F52" w:rsidRPr="00CA1FF2">
        <w:rPr>
          <w:rFonts w:ascii="Arial" w:hAnsi="Arial" w:cs="Arial"/>
          <w:sz w:val="20"/>
          <w:szCs w:val="20"/>
        </w:rPr>
        <w:t xml:space="preserve">t is useful to note that the Second draft of Kyrgyzstan’s Green Taxonomy already includes a well-crafted </w:t>
      </w:r>
      <w:r w:rsidR="00F071EF" w:rsidRPr="00CA1FF2">
        <w:rPr>
          <w:rFonts w:ascii="Arial" w:hAnsi="Arial" w:cs="Arial"/>
          <w:sz w:val="20"/>
          <w:szCs w:val="20"/>
        </w:rPr>
        <w:t>S</w:t>
      </w:r>
      <w:r w:rsidR="00B64F52" w:rsidRPr="00CA1FF2">
        <w:rPr>
          <w:rFonts w:ascii="Arial" w:hAnsi="Arial" w:cs="Arial"/>
          <w:sz w:val="20"/>
          <w:szCs w:val="20"/>
        </w:rPr>
        <w:t xml:space="preserve">ection </w:t>
      </w:r>
      <w:r w:rsidR="009F1D7E" w:rsidRPr="00CA1FF2">
        <w:rPr>
          <w:rFonts w:ascii="Arial" w:hAnsi="Arial" w:cs="Arial"/>
          <w:sz w:val="20"/>
          <w:szCs w:val="20"/>
        </w:rPr>
        <w:t xml:space="preserve">8 </w:t>
      </w:r>
      <w:r w:rsidR="00F071EF" w:rsidRPr="00CA1FF2">
        <w:rPr>
          <w:rFonts w:ascii="Arial" w:hAnsi="Arial" w:cs="Arial"/>
          <w:sz w:val="20"/>
          <w:szCs w:val="20"/>
        </w:rPr>
        <w:t xml:space="preserve">on </w:t>
      </w:r>
      <w:r w:rsidR="009F1D7E" w:rsidRPr="00CA1FF2">
        <w:rPr>
          <w:rFonts w:ascii="Arial" w:hAnsi="Arial" w:cs="Arial"/>
          <w:sz w:val="20"/>
          <w:szCs w:val="20"/>
        </w:rPr>
        <w:t>Environmental and social risk management</w:t>
      </w:r>
      <w:r w:rsidR="00DB5F78" w:rsidRPr="00CA1FF2">
        <w:rPr>
          <w:rFonts w:ascii="Arial" w:hAnsi="Arial" w:cs="Arial"/>
          <w:sz w:val="20"/>
          <w:szCs w:val="20"/>
        </w:rPr>
        <w:t xml:space="preserve"> that </w:t>
      </w:r>
      <w:r w:rsidR="009C00CB" w:rsidRPr="00CA1FF2">
        <w:rPr>
          <w:rFonts w:ascii="Arial" w:hAnsi="Arial" w:cs="Arial"/>
          <w:sz w:val="20"/>
          <w:szCs w:val="20"/>
        </w:rPr>
        <w:t xml:space="preserve">requires </w:t>
      </w:r>
      <w:r w:rsidR="007059D2" w:rsidRPr="00CA1FF2">
        <w:rPr>
          <w:rFonts w:ascii="Arial" w:hAnsi="Arial" w:cs="Arial"/>
          <w:sz w:val="20"/>
          <w:szCs w:val="20"/>
        </w:rPr>
        <w:t xml:space="preserve">the Green Taxonomy </w:t>
      </w:r>
      <w:r w:rsidR="009C00CB" w:rsidRPr="00CA1FF2">
        <w:rPr>
          <w:rFonts w:ascii="Arial" w:hAnsi="Arial" w:cs="Arial"/>
          <w:sz w:val="20"/>
          <w:szCs w:val="20"/>
        </w:rPr>
        <w:t>projects and economic activities to manage environmental and social risks</w:t>
      </w:r>
      <w:r w:rsidR="007059D2" w:rsidRPr="00CA1FF2">
        <w:rPr>
          <w:rFonts w:ascii="Arial" w:hAnsi="Arial" w:cs="Arial"/>
          <w:sz w:val="20"/>
          <w:szCs w:val="20"/>
        </w:rPr>
        <w:t xml:space="preserve"> </w:t>
      </w:r>
      <w:r w:rsidR="004B6D31" w:rsidRPr="00CA1FF2">
        <w:rPr>
          <w:rFonts w:ascii="Arial" w:hAnsi="Arial" w:cs="Arial"/>
          <w:sz w:val="20"/>
          <w:szCs w:val="20"/>
        </w:rPr>
        <w:t>and</w:t>
      </w:r>
      <w:r w:rsidR="00F45322" w:rsidRPr="00CA1FF2">
        <w:rPr>
          <w:rFonts w:ascii="Arial" w:hAnsi="Arial" w:cs="Arial"/>
          <w:sz w:val="20"/>
          <w:szCs w:val="20"/>
        </w:rPr>
        <w:t xml:space="preserve"> hence the inter</w:t>
      </w:r>
      <w:r w:rsidR="008857DD" w:rsidRPr="00CA1FF2">
        <w:rPr>
          <w:rFonts w:ascii="Arial" w:hAnsi="Arial" w:cs="Arial"/>
          <w:sz w:val="20"/>
          <w:szCs w:val="20"/>
        </w:rPr>
        <w:t xml:space="preserve">nationally upheld </w:t>
      </w:r>
      <w:r w:rsidR="004B6D31" w:rsidRPr="00CA1FF2">
        <w:rPr>
          <w:rFonts w:ascii="Arial" w:hAnsi="Arial" w:cs="Arial"/>
          <w:sz w:val="20"/>
          <w:szCs w:val="20"/>
        </w:rPr>
        <w:t>‘Do-No-Significant</w:t>
      </w:r>
      <w:r w:rsidR="00CF0C66" w:rsidRPr="00CA1FF2">
        <w:rPr>
          <w:rFonts w:ascii="Arial" w:hAnsi="Arial" w:cs="Arial"/>
          <w:sz w:val="20"/>
          <w:szCs w:val="20"/>
        </w:rPr>
        <w:t xml:space="preserve"> Harm</w:t>
      </w:r>
      <w:r w:rsidR="004B6D31" w:rsidRPr="00CA1FF2">
        <w:rPr>
          <w:rFonts w:ascii="Arial" w:hAnsi="Arial" w:cs="Arial"/>
          <w:sz w:val="20"/>
          <w:szCs w:val="20"/>
        </w:rPr>
        <w:t xml:space="preserve"> Principle’</w:t>
      </w:r>
      <w:r w:rsidR="008857DD" w:rsidRPr="00CA1FF2">
        <w:rPr>
          <w:rFonts w:ascii="Arial" w:hAnsi="Arial" w:cs="Arial"/>
          <w:sz w:val="20"/>
          <w:szCs w:val="20"/>
        </w:rPr>
        <w:t xml:space="preserve"> for green finance</w:t>
      </w:r>
      <w:r w:rsidR="004B6D31" w:rsidRPr="00CA1FF2">
        <w:rPr>
          <w:rFonts w:ascii="Arial" w:hAnsi="Arial" w:cs="Arial"/>
          <w:sz w:val="20"/>
          <w:szCs w:val="20"/>
        </w:rPr>
        <w:t xml:space="preserve">. </w:t>
      </w:r>
      <w:r w:rsidR="00105420" w:rsidRPr="00CA1FF2">
        <w:rPr>
          <w:rFonts w:ascii="Arial" w:hAnsi="Arial" w:cs="Arial"/>
          <w:sz w:val="20"/>
          <w:szCs w:val="20"/>
        </w:rPr>
        <w:t>S</w:t>
      </w:r>
      <w:r w:rsidR="004B6D31" w:rsidRPr="00CA1FF2">
        <w:rPr>
          <w:rFonts w:ascii="Arial" w:hAnsi="Arial" w:cs="Arial"/>
          <w:sz w:val="20"/>
          <w:szCs w:val="20"/>
        </w:rPr>
        <w:t>ection 8</w:t>
      </w:r>
      <w:r w:rsidR="003C7AAC" w:rsidRPr="00CA1FF2">
        <w:rPr>
          <w:rFonts w:ascii="Arial" w:hAnsi="Arial" w:cs="Arial"/>
          <w:sz w:val="20"/>
          <w:szCs w:val="20"/>
        </w:rPr>
        <w:t>,</w:t>
      </w:r>
      <w:r w:rsidR="004B6D31" w:rsidRPr="00CA1FF2">
        <w:rPr>
          <w:rFonts w:ascii="Arial" w:hAnsi="Arial" w:cs="Arial"/>
          <w:sz w:val="20"/>
          <w:szCs w:val="20"/>
        </w:rPr>
        <w:t xml:space="preserve"> </w:t>
      </w:r>
      <w:r w:rsidR="00105420" w:rsidRPr="00CA1FF2">
        <w:rPr>
          <w:rFonts w:ascii="Arial" w:hAnsi="Arial" w:cs="Arial"/>
          <w:sz w:val="20"/>
          <w:szCs w:val="20"/>
        </w:rPr>
        <w:t>however</w:t>
      </w:r>
      <w:r w:rsidR="003C7AAC" w:rsidRPr="00CA1FF2">
        <w:rPr>
          <w:rFonts w:ascii="Arial" w:hAnsi="Arial" w:cs="Arial"/>
          <w:sz w:val="20"/>
          <w:szCs w:val="20"/>
        </w:rPr>
        <w:t>,</w:t>
      </w:r>
      <w:r w:rsidR="00105420" w:rsidRPr="00CA1FF2">
        <w:rPr>
          <w:rFonts w:ascii="Arial" w:hAnsi="Arial" w:cs="Arial"/>
          <w:sz w:val="20"/>
          <w:szCs w:val="20"/>
        </w:rPr>
        <w:t xml:space="preserve"> only </w:t>
      </w:r>
      <w:r w:rsidR="00CC0A60" w:rsidRPr="00CA1FF2">
        <w:rPr>
          <w:rFonts w:ascii="Arial" w:hAnsi="Arial" w:cs="Arial"/>
          <w:sz w:val="20"/>
          <w:szCs w:val="20"/>
        </w:rPr>
        <w:t xml:space="preserve">generally refers </w:t>
      </w:r>
      <w:r w:rsidR="00105420" w:rsidRPr="00CA1FF2">
        <w:rPr>
          <w:rFonts w:ascii="Arial" w:hAnsi="Arial" w:cs="Arial"/>
          <w:sz w:val="20"/>
          <w:szCs w:val="20"/>
        </w:rPr>
        <w:t xml:space="preserve">the projects </w:t>
      </w:r>
      <w:r w:rsidR="00CC0A60" w:rsidRPr="00CA1FF2">
        <w:rPr>
          <w:rFonts w:ascii="Arial" w:hAnsi="Arial" w:cs="Arial"/>
          <w:sz w:val="20"/>
          <w:szCs w:val="20"/>
        </w:rPr>
        <w:t xml:space="preserve">to national </w:t>
      </w:r>
      <w:r w:rsidR="008B3ED8" w:rsidRPr="00CA1FF2">
        <w:rPr>
          <w:rFonts w:ascii="Arial" w:hAnsi="Arial" w:cs="Arial"/>
          <w:sz w:val="20"/>
          <w:szCs w:val="20"/>
        </w:rPr>
        <w:t xml:space="preserve">regulatory </w:t>
      </w:r>
      <w:r w:rsidR="00CC0A60" w:rsidRPr="00CA1FF2">
        <w:rPr>
          <w:rFonts w:ascii="Arial" w:hAnsi="Arial" w:cs="Arial"/>
          <w:sz w:val="20"/>
          <w:szCs w:val="20"/>
        </w:rPr>
        <w:t xml:space="preserve">requirements, </w:t>
      </w:r>
      <w:r w:rsidR="008B3ED8" w:rsidRPr="00CA1FF2">
        <w:rPr>
          <w:rFonts w:ascii="Arial" w:hAnsi="Arial" w:cs="Arial"/>
          <w:sz w:val="20"/>
          <w:szCs w:val="20"/>
        </w:rPr>
        <w:t xml:space="preserve">and in their absence, international standards such as the Equator Principles or the </w:t>
      </w:r>
      <w:r w:rsidR="008857DD" w:rsidRPr="00CA1FF2">
        <w:rPr>
          <w:rFonts w:ascii="Arial" w:hAnsi="Arial" w:cs="Arial"/>
          <w:sz w:val="20"/>
          <w:szCs w:val="20"/>
        </w:rPr>
        <w:t xml:space="preserve">Performance Standards </w:t>
      </w:r>
      <w:r w:rsidR="003F7159" w:rsidRPr="00CA1FF2">
        <w:rPr>
          <w:rFonts w:ascii="Arial" w:hAnsi="Arial" w:cs="Arial"/>
          <w:sz w:val="20"/>
          <w:szCs w:val="20"/>
        </w:rPr>
        <w:t xml:space="preserve">used by the </w:t>
      </w:r>
      <w:r w:rsidR="00CC0A60" w:rsidRPr="00CA1FF2">
        <w:rPr>
          <w:rFonts w:ascii="Arial" w:hAnsi="Arial" w:cs="Arial"/>
          <w:sz w:val="20"/>
          <w:szCs w:val="20"/>
        </w:rPr>
        <w:t xml:space="preserve">IFC and the </w:t>
      </w:r>
      <w:r w:rsidR="003F7159" w:rsidRPr="00CA1FF2">
        <w:rPr>
          <w:rFonts w:ascii="Arial" w:hAnsi="Arial" w:cs="Arial"/>
          <w:sz w:val="20"/>
          <w:szCs w:val="20"/>
        </w:rPr>
        <w:t>EBRD</w:t>
      </w:r>
      <w:r w:rsidR="003C7AAC" w:rsidRPr="00CA1FF2">
        <w:rPr>
          <w:rFonts w:ascii="Arial" w:hAnsi="Arial" w:cs="Arial"/>
          <w:sz w:val="20"/>
          <w:szCs w:val="20"/>
        </w:rPr>
        <w:t xml:space="preserve"> – and its operationalization </w:t>
      </w:r>
      <w:r w:rsidR="00CC0A60" w:rsidRPr="00CA1FF2">
        <w:rPr>
          <w:rFonts w:ascii="Arial" w:hAnsi="Arial" w:cs="Arial"/>
          <w:sz w:val="20"/>
          <w:szCs w:val="20"/>
        </w:rPr>
        <w:t xml:space="preserve">will require further </w:t>
      </w:r>
      <w:r w:rsidR="003C7AAC" w:rsidRPr="00CA1FF2">
        <w:rPr>
          <w:rFonts w:ascii="Arial" w:hAnsi="Arial" w:cs="Arial"/>
          <w:sz w:val="20"/>
          <w:szCs w:val="20"/>
        </w:rPr>
        <w:t>work</w:t>
      </w:r>
      <w:r w:rsidR="003F7159" w:rsidRPr="00CA1FF2">
        <w:rPr>
          <w:rFonts w:ascii="Arial" w:hAnsi="Arial" w:cs="Arial"/>
          <w:sz w:val="20"/>
          <w:szCs w:val="20"/>
        </w:rPr>
        <w:t xml:space="preserve">. </w:t>
      </w:r>
    </w:p>
    <w:p w14:paraId="51D5D334" w14:textId="2B23C51C" w:rsidR="00D52B49" w:rsidRPr="001C7538" w:rsidRDefault="00AB68B9" w:rsidP="00563C88">
      <w:pPr>
        <w:spacing w:before="120" w:after="120" w:line="240" w:lineRule="auto"/>
        <w:ind w:right="-29"/>
        <w:jc w:val="both"/>
        <w:rPr>
          <w:i/>
          <w:iCs/>
          <w:color w:val="000000" w:themeColor="text1"/>
          <w:sz w:val="20"/>
          <w:szCs w:val="20"/>
          <w:highlight w:val="yellow"/>
        </w:rPr>
      </w:pPr>
      <w:r w:rsidRPr="00B16C09">
        <w:rPr>
          <w:color w:val="000000" w:themeColor="text1"/>
          <w:sz w:val="20"/>
          <w:szCs w:val="20"/>
        </w:rPr>
        <w:t xml:space="preserve">Table </w:t>
      </w:r>
      <w:r w:rsidR="00551684" w:rsidRPr="00B16C09">
        <w:rPr>
          <w:color w:val="000000" w:themeColor="text1"/>
          <w:sz w:val="20"/>
          <w:szCs w:val="20"/>
        </w:rPr>
        <w:t>1</w:t>
      </w:r>
      <w:r w:rsidRPr="00B16C09">
        <w:rPr>
          <w:color w:val="000000" w:themeColor="text1"/>
          <w:sz w:val="20"/>
          <w:szCs w:val="20"/>
        </w:rPr>
        <w:t xml:space="preserve">. </w:t>
      </w:r>
      <w:r w:rsidR="00FD741E" w:rsidRPr="00B16C09">
        <w:rPr>
          <w:color w:val="000000" w:themeColor="text1"/>
          <w:sz w:val="20"/>
          <w:szCs w:val="20"/>
        </w:rPr>
        <w:t>Summary of key policy instruments on climate change</w:t>
      </w:r>
    </w:p>
    <w:tbl>
      <w:tblPr>
        <w:tblStyle w:val="ListTable3-Accent2"/>
        <w:tblW w:w="9067" w:type="dxa"/>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2245"/>
        <w:gridCol w:w="3562"/>
        <w:gridCol w:w="3260"/>
      </w:tblGrid>
      <w:tr w:rsidR="00B9751C" w:rsidRPr="002B14F0" w14:paraId="18DBA713" w14:textId="77777777" w:rsidTr="00D424C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245" w:type="dxa"/>
            <w:shd w:val="clear" w:color="auto" w:fill="3494BA" w:themeFill="accent1"/>
          </w:tcPr>
          <w:p w14:paraId="164D97FE" w14:textId="77777777" w:rsidR="00B9751C" w:rsidRPr="002B14F0" w:rsidRDefault="00B9751C">
            <w:pPr>
              <w:spacing w:after="120"/>
              <w:rPr>
                <w:rFonts w:asciiTheme="majorHAnsi" w:hAnsiTheme="majorHAnsi" w:cstheme="majorHAnsi"/>
                <w:sz w:val="18"/>
                <w:szCs w:val="18"/>
                <w:lang w:val="en-GB"/>
              </w:rPr>
            </w:pPr>
            <w:r w:rsidRPr="002B14F0">
              <w:rPr>
                <w:rFonts w:asciiTheme="majorHAnsi" w:hAnsiTheme="majorHAnsi" w:cstheme="majorHAnsi"/>
                <w:sz w:val="18"/>
                <w:szCs w:val="18"/>
                <w:lang w:val="en-GB"/>
              </w:rPr>
              <w:t>Climate policy/strategy</w:t>
            </w:r>
          </w:p>
        </w:tc>
        <w:tc>
          <w:tcPr>
            <w:tcW w:w="3562" w:type="dxa"/>
            <w:shd w:val="clear" w:color="auto" w:fill="3494BA" w:themeFill="accent1"/>
          </w:tcPr>
          <w:p w14:paraId="39CCB66D" w14:textId="77777777" w:rsidR="00B9751C" w:rsidRPr="002B14F0" w:rsidRDefault="00B9751C">
            <w:pPr>
              <w:spacing w:after="1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2B14F0">
              <w:rPr>
                <w:rFonts w:asciiTheme="majorHAnsi" w:hAnsiTheme="majorHAnsi" w:cstheme="majorHAnsi"/>
                <w:sz w:val="18"/>
                <w:szCs w:val="18"/>
                <w:lang w:val="en-GB"/>
              </w:rPr>
              <w:t>Key priorities</w:t>
            </w:r>
          </w:p>
        </w:tc>
        <w:tc>
          <w:tcPr>
            <w:tcW w:w="3260" w:type="dxa"/>
            <w:shd w:val="clear" w:color="auto" w:fill="3494BA" w:themeFill="accent1"/>
          </w:tcPr>
          <w:p w14:paraId="7D7F548D" w14:textId="77777777" w:rsidR="00B9751C" w:rsidRPr="002B14F0" w:rsidRDefault="00B9751C">
            <w:pPr>
              <w:spacing w:after="12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2B14F0">
              <w:rPr>
                <w:rFonts w:asciiTheme="majorHAnsi" w:hAnsiTheme="majorHAnsi" w:cstheme="majorHAnsi"/>
                <w:sz w:val="18"/>
                <w:szCs w:val="18"/>
                <w:lang w:val="en-GB"/>
              </w:rPr>
              <w:t>Alignment with the GCF Readiness</w:t>
            </w:r>
          </w:p>
        </w:tc>
      </w:tr>
      <w:tr w:rsidR="00B9751C" w:rsidRPr="002B14F0" w14:paraId="4970ACD8" w14:textId="77777777" w:rsidTr="00D42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5" w:type="dxa"/>
            <w:vAlign w:val="center"/>
          </w:tcPr>
          <w:p w14:paraId="3DA55580" w14:textId="77777777" w:rsidR="00B9751C" w:rsidRPr="002B14F0" w:rsidRDefault="00B9751C">
            <w:pPr>
              <w:rPr>
                <w:rFonts w:asciiTheme="majorHAnsi" w:hAnsiTheme="majorHAnsi" w:cstheme="majorHAnsi"/>
                <w:b w:val="0"/>
                <w:bCs w:val="0"/>
                <w:color w:val="A6A6A6" w:themeColor="background1" w:themeShade="A6"/>
                <w:sz w:val="18"/>
                <w:szCs w:val="18"/>
                <w:lang w:val="en-GB"/>
              </w:rPr>
            </w:pPr>
            <w:r w:rsidRPr="002B14F0">
              <w:rPr>
                <w:rFonts w:asciiTheme="majorHAnsi" w:hAnsiTheme="majorHAnsi" w:cstheme="majorHAnsi"/>
                <w:sz w:val="18"/>
                <w:szCs w:val="18"/>
              </w:rPr>
              <w:t>National Development Strategy of Kyrgyz Republic 2018-2040</w:t>
            </w:r>
            <w:r w:rsidRPr="002B14F0">
              <w:rPr>
                <w:rStyle w:val="FootnoteReference"/>
                <w:rFonts w:asciiTheme="majorHAnsi" w:hAnsiTheme="majorHAnsi" w:cstheme="majorHAnsi"/>
                <w:b w:val="0"/>
                <w:bCs w:val="0"/>
                <w:sz w:val="18"/>
                <w:szCs w:val="18"/>
              </w:rPr>
              <w:footnoteReference w:id="63"/>
            </w:r>
          </w:p>
        </w:tc>
        <w:tc>
          <w:tcPr>
            <w:tcW w:w="3562" w:type="dxa"/>
          </w:tcPr>
          <w:p w14:paraId="0ACDE1ED"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Environmental Sustainability and Ecosystem Restoration</w:t>
            </w:r>
          </w:p>
          <w:p w14:paraId="1760ED15"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Climate Change Adaptation and Disaster Risk Reduction</w:t>
            </w:r>
          </w:p>
          <w:p w14:paraId="7C740A01"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Green Economy Transition</w:t>
            </w:r>
          </w:p>
          <w:p w14:paraId="0AB0BE3B"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Waste Management and Pollution Control</w:t>
            </w:r>
          </w:p>
          <w:p w14:paraId="397E8645"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Urban Greening and Forestry</w:t>
            </w:r>
          </w:p>
          <w:p w14:paraId="45F1DEAE"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Sustainable Transport Development</w:t>
            </w:r>
          </w:p>
          <w:p w14:paraId="6AF89C57"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International Cooperation and Financing</w:t>
            </w:r>
          </w:p>
        </w:tc>
        <w:tc>
          <w:tcPr>
            <w:tcW w:w="3260" w:type="dxa"/>
          </w:tcPr>
          <w:p w14:paraId="045A5305" w14:textId="4ED04A50" w:rsidR="00D424C2" w:rsidRPr="00D424C2" w:rsidRDefault="00D424C2" w:rsidP="00D424C2">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(Outcome 1.</w:t>
            </w:r>
            <w:r>
              <w:rPr>
                <w:rFonts w:asciiTheme="majorHAnsi" w:hAnsiTheme="majorHAnsi" w:cstheme="majorHAnsi"/>
                <w:sz w:val="18"/>
                <w:szCs w:val="18"/>
              </w:rPr>
              <w:t>1</w:t>
            </w:r>
            <w:r w:rsidRPr="002B14F0">
              <w:rPr>
                <w:rFonts w:asciiTheme="majorHAnsi" w:hAnsiTheme="majorHAnsi" w:cstheme="majorHAnsi"/>
                <w:sz w:val="18"/>
                <w:szCs w:val="18"/>
              </w:rPr>
              <w:t>)</w:t>
            </w:r>
          </w:p>
          <w:p w14:paraId="5E929B5B" w14:textId="1C78FFEA" w:rsidR="00B9751C" w:rsidRPr="002B14F0" w:rsidRDefault="00D424C2"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w:t>
            </w:r>
            <w:r w:rsidR="00B9751C" w:rsidRPr="002B14F0">
              <w:rPr>
                <w:rFonts w:asciiTheme="majorHAnsi" w:hAnsiTheme="majorHAnsi" w:cstheme="majorHAnsi"/>
                <w:sz w:val="18"/>
                <w:szCs w:val="18"/>
              </w:rPr>
              <w:t>(Outcome 1.3)</w:t>
            </w:r>
          </w:p>
          <w:p w14:paraId="395EE5AC"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Sectoral Regulatory Frameworks and Green Taxonomy (Outcome 2.2)</w:t>
            </w:r>
          </w:p>
          <w:p w14:paraId="089DDBBE"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Piloting Financial Mechanisms (Outcome 2.4)</w:t>
            </w:r>
          </w:p>
          <w:p w14:paraId="2B03BCD9"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GB"/>
              </w:rPr>
            </w:pPr>
            <w:r w:rsidRPr="002B14F0">
              <w:rPr>
                <w:rFonts w:asciiTheme="majorHAnsi" w:hAnsiTheme="majorHAnsi" w:cstheme="majorHAnsi"/>
                <w:sz w:val="18"/>
                <w:szCs w:val="18"/>
              </w:rPr>
              <w:t>Capacity Building and Stakeholder Engagement (Outcome 5.1)</w:t>
            </w:r>
          </w:p>
        </w:tc>
      </w:tr>
      <w:tr w:rsidR="00B9751C" w:rsidRPr="002B14F0" w14:paraId="49FAAC35" w14:textId="77777777" w:rsidTr="00D424C2">
        <w:trPr>
          <w:trHeight w:val="300"/>
        </w:trPr>
        <w:tc>
          <w:tcPr>
            <w:cnfStyle w:val="001000000000" w:firstRow="0" w:lastRow="0" w:firstColumn="1" w:lastColumn="0" w:oddVBand="0" w:evenVBand="0" w:oddHBand="0" w:evenHBand="0" w:firstRowFirstColumn="0" w:firstRowLastColumn="0" w:lastRowFirstColumn="0" w:lastRowLastColumn="0"/>
            <w:tcW w:w="2245" w:type="dxa"/>
          </w:tcPr>
          <w:p w14:paraId="02A3B669" w14:textId="77777777" w:rsidR="00B9751C" w:rsidRPr="002B14F0" w:rsidRDefault="00B9751C">
            <w:pPr>
              <w:spacing w:after="120"/>
              <w:rPr>
                <w:rFonts w:asciiTheme="majorHAnsi" w:hAnsiTheme="majorHAnsi" w:cstheme="majorHAnsi"/>
                <w:color w:val="A6A6A6" w:themeColor="background1" w:themeShade="A6"/>
                <w:sz w:val="18"/>
                <w:szCs w:val="18"/>
                <w:lang w:val="en-GB"/>
              </w:rPr>
            </w:pPr>
            <w:r w:rsidRPr="002B14F0">
              <w:rPr>
                <w:rFonts w:asciiTheme="majorHAnsi" w:hAnsiTheme="majorHAnsi" w:cstheme="majorHAnsi"/>
                <w:sz w:val="18"/>
                <w:szCs w:val="18"/>
                <w:lang w:val="en-GB"/>
              </w:rPr>
              <w:t>Green Economy Development Program 2019-2023</w:t>
            </w:r>
            <w:r w:rsidRPr="002B14F0">
              <w:rPr>
                <w:rStyle w:val="FootnoteReference"/>
                <w:rFonts w:asciiTheme="majorHAnsi" w:hAnsiTheme="majorHAnsi" w:cstheme="majorHAnsi"/>
                <w:b w:val="0"/>
                <w:bCs w:val="0"/>
                <w:sz w:val="18"/>
                <w:szCs w:val="18"/>
                <w:lang w:val="en-GB"/>
              </w:rPr>
              <w:footnoteReference w:id="64"/>
            </w:r>
          </w:p>
        </w:tc>
        <w:tc>
          <w:tcPr>
            <w:tcW w:w="3562" w:type="dxa"/>
            <w:vMerge w:val="restart"/>
          </w:tcPr>
          <w:p w14:paraId="5D9988C0" w14:textId="77777777" w:rsidR="00B9751C" w:rsidRPr="002B14F0" w:rsidRDefault="00B9751C" w:rsidP="00163FD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Natural Ecosystems and Biodiversity</w:t>
            </w:r>
          </w:p>
          <w:p w14:paraId="662006D7" w14:textId="77777777" w:rsidR="00B9751C" w:rsidRPr="002B14F0" w:rsidRDefault="00B9751C" w:rsidP="00163FD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Forestry and Climate Resilience</w:t>
            </w:r>
          </w:p>
          <w:p w14:paraId="75B355D2" w14:textId="77777777" w:rsidR="00B9751C" w:rsidRPr="002B14F0" w:rsidRDefault="00B9751C" w:rsidP="00163FD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Renewable Energy Development</w:t>
            </w:r>
          </w:p>
          <w:p w14:paraId="7BF052D2" w14:textId="77777777" w:rsidR="00B9751C" w:rsidRPr="002B14F0" w:rsidRDefault="00B9751C" w:rsidP="00163FD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Waste Management and Pollution Reduction</w:t>
            </w:r>
          </w:p>
          <w:p w14:paraId="4DA6341B" w14:textId="77777777" w:rsidR="00B9751C" w:rsidRPr="002B14F0" w:rsidRDefault="00B9751C" w:rsidP="00163FD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Climate Change Adaptation and Mitigation</w:t>
            </w:r>
          </w:p>
          <w:p w14:paraId="7C29C659" w14:textId="77777777" w:rsidR="00B9751C" w:rsidRPr="002B14F0" w:rsidRDefault="00B9751C" w:rsidP="00163FD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lastRenderedPageBreak/>
              <w:t>Economic and Institutional Mechanisms</w:t>
            </w:r>
          </w:p>
        </w:tc>
        <w:tc>
          <w:tcPr>
            <w:tcW w:w="3260" w:type="dxa"/>
            <w:vMerge w:val="restart"/>
          </w:tcPr>
          <w:p w14:paraId="286D7B7F" w14:textId="77777777" w:rsidR="00D424C2" w:rsidRPr="00D424C2" w:rsidRDefault="00D424C2" w:rsidP="00D424C2">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lastRenderedPageBreak/>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(Outcome 1.</w:t>
            </w:r>
            <w:r>
              <w:rPr>
                <w:rFonts w:asciiTheme="majorHAnsi" w:hAnsiTheme="majorHAnsi" w:cstheme="majorHAnsi"/>
                <w:sz w:val="18"/>
                <w:szCs w:val="18"/>
              </w:rPr>
              <w:t>1</w:t>
            </w:r>
            <w:r w:rsidRPr="002B14F0">
              <w:rPr>
                <w:rFonts w:asciiTheme="majorHAnsi" w:hAnsiTheme="majorHAnsi" w:cstheme="majorHAnsi"/>
                <w:sz w:val="18"/>
                <w:szCs w:val="18"/>
              </w:rPr>
              <w:t>)</w:t>
            </w:r>
          </w:p>
          <w:p w14:paraId="0B277EFF" w14:textId="77777777" w:rsidR="00D424C2" w:rsidRPr="002B14F0" w:rsidRDefault="00D424C2" w:rsidP="00D424C2">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(Outcome 1.3)</w:t>
            </w:r>
          </w:p>
          <w:p w14:paraId="69433B2B" w14:textId="77777777" w:rsidR="00B9751C" w:rsidRPr="002B14F0" w:rsidRDefault="00B9751C" w:rsidP="00D424C2">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lastRenderedPageBreak/>
              <w:t>Sectoral Regulatory Frameworks and Green Taxonomy (Outcome 2.2)</w:t>
            </w:r>
          </w:p>
          <w:p w14:paraId="5341D2A9" w14:textId="77777777" w:rsidR="00B9751C" w:rsidRPr="002B14F0" w:rsidRDefault="00B9751C" w:rsidP="00D424C2">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Piloting Financial Mechanisms (Outcome 2.4)</w:t>
            </w:r>
          </w:p>
          <w:p w14:paraId="1F3B88C5" w14:textId="77777777" w:rsidR="00B9751C" w:rsidRPr="002B14F0" w:rsidRDefault="00B9751C" w:rsidP="00D424C2">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Capacity Building and Stakeholder Engagement (Outcome 5.1)</w:t>
            </w:r>
          </w:p>
        </w:tc>
      </w:tr>
      <w:tr w:rsidR="00B9751C" w:rsidRPr="002B14F0" w14:paraId="673A8FA9" w14:textId="77777777" w:rsidTr="00D42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5" w:type="dxa"/>
          </w:tcPr>
          <w:p w14:paraId="30AD4166" w14:textId="77777777" w:rsidR="00B9751C" w:rsidRPr="002B14F0" w:rsidRDefault="00B9751C">
            <w:pPr>
              <w:spacing w:after="120"/>
              <w:rPr>
                <w:rFonts w:asciiTheme="majorHAnsi" w:hAnsiTheme="majorHAnsi" w:cstheme="majorHAnsi"/>
                <w:sz w:val="18"/>
                <w:szCs w:val="18"/>
              </w:rPr>
            </w:pPr>
            <w:r w:rsidRPr="002B14F0">
              <w:rPr>
                <w:rFonts w:asciiTheme="majorHAnsi" w:hAnsiTheme="majorHAnsi" w:cstheme="majorHAnsi"/>
                <w:sz w:val="18"/>
                <w:szCs w:val="18"/>
                <w:lang w:val="en-GB"/>
              </w:rPr>
              <w:t xml:space="preserve">Green Economy Development Program </w:t>
            </w:r>
            <w:r w:rsidRPr="002B14F0">
              <w:rPr>
                <w:rFonts w:asciiTheme="majorHAnsi" w:hAnsiTheme="majorHAnsi" w:cstheme="majorHAnsi"/>
                <w:sz w:val="18"/>
                <w:szCs w:val="18"/>
              </w:rPr>
              <w:t>2028</w:t>
            </w:r>
            <w:r w:rsidRPr="002B14F0">
              <w:rPr>
                <w:rStyle w:val="FootnoteReference"/>
                <w:rFonts w:asciiTheme="majorHAnsi" w:hAnsiTheme="majorHAnsi" w:cstheme="majorHAnsi"/>
                <w:b w:val="0"/>
                <w:bCs w:val="0"/>
                <w:sz w:val="18"/>
                <w:szCs w:val="18"/>
              </w:rPr>
              <w:footnoteReference w:id="65"/>
            </w:r>
          </w:p>
        </w:tc>
        <w:tc>
          <w:tcPr>
            <w:tcW w:w="3562" w:type="dxa"/>
            <w:vMerge/>
          </w:tcPr>
          <w:p w14:paraId="01B2BF39" w14:textId="77777777" w:rsidR="00B9751C" w:rsidRPr="002B14F0" w:rsidRDefault="00B9751C">
            <w:pPr>
              <w:spacing w:after="12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6A6A6" w:themeColor="background1" w:themeShade="A6"/>
                <w:sz w:val="18"/>
                <w:szCs w:val="18"/>
                <w:lang w:val="en-GB"/>
              </w:rPr>
            </w:pPr>
          </w:p>
        </w:tc>
        <w:tc>
          <w:tcPr>
            <w:tcW w:w="3260" w:type="dxa"/>
            <w:vMerge/>
          </w:tcPr>
          <w:p w14:paraId="415EA707" w14:textId="77777777" w:rsidR="00B9751C" w:rsidRPr="002B14F0" w:rsidRDefault="00B9751C">
            <w:pPr>
              <w:spacing w:after="12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6A6A6" w:themeColor="background1" w:themeShade="A6"/>
                <w:sz w:val="18"/>
                <w:szCs w:val="18"/>
                <w:lang w:val="en-GB"/>
              </w:rPr>
            </w:pPr>
          </w:p>
        </w:tc>
      </w:tr>
      <w:tr w:rsidR="00B9751C" w:rsidRPr="002B14F0" w14:paraId="734759B5" w14:textId="77777777" w:rsidTr="00D424C2">
        <w:trPr>
          <w:trHeight w:val="300"/>
        </w:trPr>
        <w:tc>
          <w:tcPr>
            <w:cnfStyle w:val="001000000000" w:firstRow="0" w:lastRow="0" w:firstColumn="1" w:lastColumn="0" w:oddVBand="0" w:evenVBand="0" w:oddHBand="0" w:evenHBand="0" w:firstRowFirstColumn="0" w:firstRowLastColumn="0" w:lastRowFirstColumn="0" w:lastRowLastColumn="0"/>
            <w:tcW w:w="2245" w:type="dxa"/>
          </w:tcPr>
          <w:p w14:paraId="4CA62840" w14:textId="77777777" w:rsidR="00B9751C" w:rsidRPr="002B14F0" w:rsidRDefault="00B9751C">
            <w:pPr>
              <w:spacing w:after="120"/>
              <w:rPr>
                <w:rFonts w:asciiTheme="majorHAnsi" w:hAnsiTheme="majorHAnsi" w:cstheme="majorHAnsi"/>
                <w:color w:val="A6A6A6" w:themeColor="background1" w:themeShade="A6"/>
                <w:sz w:val="18"/>
                <w:szCs w:val="18"/>
                <w:lang w:val="en-GB"/>
              </w:rPr>
            </w:pPr>
            <w:r w:rsidRPr="002B14F0">
              <w:rPr>
                <w:rFonts w:asciiTheme="majorHAnsi" w:hAnsiTheme="majorHAnsi" w:cstheme="majorHAnsi"/>
                <w:sz w:val="18"/>
                <w:szCs w:val="18"/>
              </w:rPr>
              <w:t>Updated Nationally Determined Contributions</w:t>
            </w:r>
            <w:r w:rsidRPr="002B14F0">
              <w:rPr>
                <w:rStyle w:val="FootnoteReference"/>
                <w:rFonts w:asciiTheme="majorHAnsi" w:hAnsiTheme="majorHAnsi" w:cstheme="majorHAnsi"/>
                <w:b w:val="0"/>
                <w:bCs w:val="0"/>
                <w:sz w:val="18"/>
                <w:szCs w:val="18"/>
              </w:rPr>
              <w:footnoteReference w:id="66"/>
            </w:r>
          </w:p>
        </w:tc>
        <w:tc>
          <w:tcPr>
            <w:tcW w:w="3562" w:type="dxa"/>
          </w:tcPr>
          <w:p w14:paraId="1D6301A2" w14:textId="77777777" w:rsidR="00B9751C" w:rsidRPr="002B14F0" w:rsidRDefault="00B9751C" w:rsidP="00163FD5">
            <w:pPr>
              <w:pStyle w:val="ListParagraph"/>
              <w:numPr>
                <w:ilvl w:val="0"/>
                <w:numId w:val="1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GHG Emissions Reduction Targets</w:t>
            </w:r>
          </w:p>
          <w:p w14:paraId="7A426A48" w14:textId="77777777" w:rsidR="00B9751C" w:rsidRPr="002B14F0" w:rsidRDefault="00B9751C" w:rsidP="00163FD5">
            <w:pPr>
              <w:pStyle w:val="ListParagraph"/>
              <w:numPr>
                <w:ilvl w:val="0"/>
                <w:numId w:val="1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Sectoral Priorities for Mitigation</w:t>
            </w:r>
          </w:p>
          <w:p w14:paraId="60F44277" w14:textId="77777777" w:rsidR="00B9751C" w:rsidRPr="002B14F0" w:rsidRDefault="00B9751C" w:rsidP="00163FD5">
            <w:pPr>
              <w:pStyle w:val="ListParagraph"/>
              <w:numPr>
                <w:ilvl w:val="0"/>
                <w:numId w:val="1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Adaptation Priorities</w:t>
            </w:r>
          </w:p>
          <w:p w14:paraId="15A6C83E" w14:textId="77777777" w:rsidR="00B9751C" w:rsidRPr="002B14F0" w:rsidRDefault="00B9751C" w:rsidP="00163FD5">
            <w:pPr>
              <w:pStyle w:val="ListParagraph"/>
              <w:numPr>
                <w:ilvl w:val="0"/>
                <w:numId w:val="1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Cross-Cutting Themes</w:t>
            </w:r>
          </w:p>
          <w:p w14:paraId="3A5CB369" w14:textId="77777777" w:rsidR="00B9751C" w:rsidRPr="002B14F0" w:rsidRDefault="00B9751C">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6A6A6" w:themeColor="background1" w:themeShade="A6"/>
                <w:sz w:val="18"/>
                <w:szCs w:val="18"/>
              </w:rPr>
            </w:pPr>
          </w:p>
        </w:tc>
        <w:tc>
          <w:tcPr>
            <w:tcW w:w="3260" w:type="dxa"/>
          </w:tcPr>
          <w:p w14:paraId="053FB789" w14:textId="77777777" w:rsidR="00D424C2" w:rsidRPr="00D424C2" w:rsidRDefault="00D424C2" w:rsidP="00D424C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(Outcome 1.</w:t>
            </w:r>
            <w:r>
              <w:rPr>
                <w:rFonts w:asciiTheme="majorHAnsi" w:hAnsiTheme="majorHAnsi" w:cstheme="majorHAnsi"/>
                <w:sz w:val="18"/>
                <w:szCs w:val="18"/>
              </w:rPr>
              <w:t>1</w:t>
            </w:r>
            <w:r w:rsidRPr="002B14F0">
              <w:rPr>
                <w:rFonts w:asciiTheme="majorHAnsi" w:hAnsiTheme="majorHAnsi" w:cstheme="majorHAnsi"/>
                <w:sz w:val="18"/>
                <w:szCs w:val="18"/>
              </w:rPr>
              <w:t>)</w:t>
            </w:r>
          </w:p>
          <w:p w14:paraId="7870AD67" w14:textId="77777777" w:rsidR="00D424C2" w:rsidRPr="002B14F0" w:rsidRDefault="00D424C2" w:rsidP="00D424C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(Outcome 1.3)</w:t>
            </w:r>
          </w:p>
          <w:p w14:paraId="045CED4E" w14:textId="77777777" w:rsidR="00B9751C" w:rsidRPr="002B14F0" w:rsidRDefault="00B9751C" w:rsidP="00D424C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Sectoral Regulatory Frameworks (Outcome 2.2)</w:t>
            </w:r>
          </w:p>
          <w:p w14:paraId="7C088DE4" w14:textId="77777777" w:rsidR="00B9751C" w:rsidRPr="002B14F0" w:rsidRDefault="00B9751C" w:rsidP="00D424C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Piloting Financial Mechanisms (Outcome 2.4)</w:t>
            </w:r>
          </w:p>
          <w:p w14:paraId="6F386BBF" w14:textId="77777777" w:rsidR="00B9751C" w:rsidRPr="002B14F0" w:rsidRDefault="00B9751C" w:rsidP="00D424C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Concept Note Development (Outcome 4.1)</w:t>
            </w:r>
          </w:p>
          <w:p w14:paraId="628A6B68" w14:textId="77777777" w:rsidR="00B9751C" w:rsidRPr="002B14F0" w:rsidRDefault="00B9751C" w:rsidP="00D424C2">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Knowledge Exchange and Capacity Building (Outcome 5.1)</w:t>
            </w:r>
          </w:p>
        </w:tc>
      </w:tr>
      <w:tr w:rsidR="00B9751C" w:rsidRPr="002B14F0" w14:paraId="6BB126B1" w14:textId="77777777" w:rsidTr="00D42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5" w:type="dxa"/>
            <w:vAlign w:val="center"/>
          </w:tcPr>
          <w:p w14:paraId="1349684C" w14:textId="77777777" w:rsidR="00B9751C" w:rsidRPr="002B14F0" w:rsidRDefault="00B9751C">
            <w:pPr>
              <w:spacing w:after="120"/>
              <w:rPr>
                <w:rFonts w:asciiTheme="majorHAnsi" w:hAnsiTheme="majorHAnsi" w:cstheme="majorHAnsi"/>
                <w:color w:val="A6A6A6" w:themeColor="background1" w:themeShade="A6"/>
                <w:sz w:val="18"/>
                <w:szCs w:val="18"/>
                <w:lang w:val="en-GB"/>
              </w:rPr>
            </w:pPr>
            <w:r w:rsidRPr="002B14F0">
              <w:rPr>
                <w:rFonts w:asciiTheme="majorHAnsi" w:hAnsiTheme="majorHAnsi" w:cstheme="majorHAnsi"/>
                <w:sz w:val="18"/>
                <w:szCs w:val="18"/>
              </w:rPr>
              <w:t>National Development Strategy 2021-2026</w:t>
            </w:r>
            <w:r w:rsidRPr="002B14F0">
              <w:rPr>
                <w:rStyle w:val="FootnoteReference"/>
                <w:rFonts w:asciiTheme="majorHAnsi" w:hAnsiTheme="majorHAnsi" w:cstheme="majorHAnsi"/>
                <w:b w:val="0"/>
                <w:bCs w:val="0"/>
                <w:sz w:val="18"/>
                <w:szCs w:val="18"/>
                <w:lang w:val="en-GB"/>
              </w:rPr>
              <w:footnoteReference w:id="67"/>
            </w:r>
          </w:p>
        </w:tc>
        <w:tc>
          <w:tcPr>
            <w:tcW w:w="3562" w:type="dxa"/>
          </w:tcPr>
          <w:p w14:paraId="0232E2B0" w14:textId="77777777" w:rsidR="00B9751C" w:rsidRPr="002B14F0" w:rsidRDefault="00B9751C" w:rsidP="00163FD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Climate Resilience and Adaptation</w:t>
            </w:r>
          </w:p>
          <w:p w14:paraId="752F1A74" w14:textId="77777777" w:rsidR="00B9751C" w:rsidRPr="002B14F0" w:rsidRDefault="00B9751C" w:rsidP="00163FD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Afforestation and Forest Ecosystem Restoration</w:t>
            </w:r>
          </w:p>
          <w:p w14:paraId="2B16CDE7" w14:textId="77777777" w:rsidR="00B9751C" w:rsidRPr="002B14F0" w:rsidRDefault="00B9751C" w:rsidP="00163FD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Green Finance Development</w:t>
            </w:r>
          </w:p>
          <w:p w14:paraId="24E5E7C4" w14:textId="77777777" w:rsidR="00B9751C" w:rsidRPr="002B14F0" w:rsidRDefault="00B9751C" w:rsidP="00163FD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Renewable Energy Expansion</w:t>
            </w:r>
          </w:p>
          <w:p w14:paraId="22F923AB" w14:textId="77777777" w:rsidR="00B9751C" w:rsidRPr="002B14F0" w:rsidRDefault="00B9751C" w:rsidP="00163FD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Sustainable Waste Management</w:t>
            </w:r>
          </w:p>
          <w:p w14:paraId="4ADA2C50" w14:textId="77777777" w:rsidR="00B9751C" w:rsidRPr="002B14F0" w:rsidRDefault="00B9751C" w:rsidP="00163FD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Energy Efficiency and Clean Energy Access</w:t>
            </w:r>
          </w:p>
          <w:p w14:paraId="2EE2E70F" w14:textId="77777777" w:rsidR="00B9751C" w:rsidRPr="002B14F0" w:rsidRDefault="00B9751C" w:rsidP="00163FD5">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Private Sector and Community Engagement</w:t>
            </w:r>
          </w:p>
        </w:tc>
        <w:tc>
          <w:tcPr>
            <w:tcW w:w="3260" w:type="dxa"/>
          </w:tcPr>
          <w:p w14:paraId="15B92FD2" w14:textId="77777777" w:rsidR="00D424C2" w:rsidRPr="00D424C2" w:rsidRDefault="00D424C2" w:rsidP="00D424C2">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(Outcome 1.</w:t>
            </w:r>
            <w:r>
              <w:rPr>
                <w:rFonts w:asciiTheme="majorHAnsi" w:hAnsiTheme="majorHAnsi" w:cstheme="majorHAnsi"/>
                <w:sz w:val="18"/>
                <w:szCs w:val="18"/>
              </w:rPr>
              <w:t>1</w:t>
            </w:r>
            <w:r w:rsidRPr="002B14F0">
              <w:rPr>
                <w:rFonts w:asciiTheme="majorHAnsi" w:hAnsiTheme="majorHAnsi" w:cstheme="majorHAnsi"/>
                <w:sz w:val="18"/>
                <w:szCs w:val="18"/>
              </w:rPr>
              <w:t>)</w:t>
            </w:r>
          </w:p>
          <w:p w14:paraId="7C6C583D" w14:textId="77777777" w:rsidR="00D424C2" w:rsidRPr="002B14F0" w:rsidRDefault="00D424C2" w:rsidP="00D424C2">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(Outcome 1.3)</w:t>
            </w:r>
          </w:p>
          <w:p w14:paraId="58F6F3D5"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Sectoral Regulatory Frameworks and Green Taxonomy (Outcome 2.2)</w:t>
            </w:r>
          </w:p>
          <w:p w14:paraId="14F518A9" w14:textId="77777777" w:rsidR="00B9751C" w:rsidRPr="002B14F0" w:rsidRDefault="00B9751C" w:rsidP="00163FD5">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Piloting Financial Mechanisms (Outcome 2.4)</w:t>
            </w:r>
          </w:p>
          <w:p w14:paraId="19BFBC8D" w14:textId="77777777" w:rsidR="00B9751C" w:rsidRPr="002B14F0" w:rsidRDefault="00B9751C" w:rsidP="00163FD5">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Capacity Building and Stakeholder Engagement (Outcome 5.1)</w:t>
            </w:r>
          </w:p>
        </w:tc>
      </w:tr>
      <w:tr w:rsidR="00B9751C" w:rsidRPr="002B14F0" w14:paraId="11C9F6E7" w14:textId="77777777" w:rsidTr="00D424C2">
        <w:trPr>
          <w:trHeight w:val="300"/>
        </w:trPr>
        <w:tc>
          <w:tcPr>
            <w:cnfStyle w:val="001000000000" w:firstRow="0" w:lastRow="0" w:firstColumn="1" w:lastColumn="0" w:oddVBand="0" w:evenVBand="0" w:oddHBand="0" w:evenHBand="0" w:firstRowFirstColumn="0" w:firstRowLastColumn="0" w:lastRowFirstColumn="0" w:lastRowLastColumn="0"/>
            <w:tcW w:w="2245" w:type="dxa"/>
            <w:vAlign w:val="center"/>
          </w:tcPr>
          <w:p w14:paraId="06263A5B" w14:textId="77777777" w:rsidR="00B9751C" w:rsidRPr="006F43FC" w:rsidRDefault="00B9751C">
            <w:pPr>
              <w:pStyle w:val="Default"/>
              <w:rPr>
                <w:rFonts w:asciiTheme="majorHAnsi" w:hAnsiTheme="majorHAnsi" w:cstheme="majorHAnsi"/>
                <w:color w:val="auto"/>
                <w:sz w:val="18"/>
                <w:szCs w:val="18"/>
                <w:lang w:val="en-GB"/>
              </w:rPr>
            </w:pPr>
            <w:r w:rsidRPr="006F43FC">
              <w:rPr>
                <w:rFonts w:asciiTheme="majorHAnsi" w:hAnsiTheme="majorHAnsi" w:cstheme="majorHAnsi"/>
                <w:sz w:val="18"/>
                <w:szCs w:val="18"/>
                <w:lang w:val="en-GB"/>
              </w:rPr>
              <w:t>Financial sector legal framework</w:t>
            </w:r>
            <w:r w:rsidRPr="006F43FC">
              <w:rPr>
                <w:rStyle w:val="FootnoteReference"/>
                <w:rFonts w:asciiTheme="majorHAnsi" w:hAnsiTheme="majorHAnsi" w:cstheme="majorHAnsi"/>
                <w:b w:val="0"/>
                <w:bCs w:val="0"/>
                <w:sz w:val="18"/>
                <w:szCs w:val="18"/>
                <w:lang w:val="en-GB"/>
              </w:rPr>
              <w:footnoteReference w:id="68"/>
            </w:r>
          </w:p>
        </w:tc>
        <w:tc>
          <w:tcPr>
            <w:tcW w:w="3562" w:type="dxa"/>
          </w:tcPr>
          <w:p w14:paraId="039977D3" w14:textId="77777777" w:rsidR="00B9751C" w:rsidRPr="002B14F0" w:rsidRDefault="00B9751C" w:rsidP="00163FD5">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Strengthening Regulatory Standards</w:t>
            </w:r>
          </w:p>
          <w:p w14:paraId="3196870F" w14:textId="77777777" w:rsidR="00B9751C" w:rsidRPr="002B14F0" w:rsidRDefault="00B9751C" w:rsidP="00163FD5">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Development of Green and Sustainable Finance</w:t>
            </w:r>
          </w:p>
          <w:p w14:paraId="76C82722" w14:textId="77777777" w:rsidR="00B9751C" w:rsidRPr="002B14F0" w:rsidRDefault="00B9751C" w:rsidP="00163FD5">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Promotion of Private Sector Engagement</w:t>
            </w:r>
          </w:p>
          <w:p w14:paraId="779237A3" w14:textId="77777777" w:rsidR="00B9751C" w:rsidRPr="002B14F0" w:rsidRDefault="00B9751C" w:rsidP="00163FD5">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Capacity Building and Innovation</w:t>
            </w:r>
          </w:p>
          <w:p w14:paraId="3F6D64D2" w14:textId="77777777" w:rsidR="00B9751C" w:rsidRPr="002B14F0" w:rsidRDefault="00B9751C" w:rsidP="00163FD5">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Transparency and Accountability</w:t>
            </w:r>
          </w:p>
          <w:p w14:paraId="62C1A8D3" w14:textId="77777777" w:rsidR="00B9751C" w:rsidRPr="002B14F0" w:rsidRDefault="00B9751C" w:rsidP="00163FD5">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Inclusion of Islamic Banking</w:t>
            </w:r>
          </w:p>
        </w:tc>
        <w:tc>
          <w:tcPr>
            <w:tcW w:w="3260" w:type="dxa"/>
          </w:tcPr>
          <w:p w14:paraId="3A768D01" w14:textId="77777777" w:rsidR="00B9751C" w:rsidRPr="002B14F0" w:rsidRDefault="00B9751C" w:rsidP="00163FD5">
            <w:pPr>
              <w:pStyle w:val="ListParagraph"/>
              <w:numPr>
                <w:ilvl w:val="0"/>
                <w:numId w:val="15"/>
              </w:numPr>
              <w:ind w:left="319"/>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Regulatory Frameworks (Outcome 2.2)</w:t>
            </w:r>
          </w:p>
          <w:p w14:paraId="710C3DD8" w14:textId="77777777" w:rsidR="00B9751C" w:rsidRPr="002B14F0" w:rsidRDefault="00B9751C" w:rsidP="00163FD5">
            <w:pPr>
              <w:pStyle w:val="ListParagraph"/>
              <w:numPr>
                <w:ilvl w:val="0"/>
                <w:numId w:val="15"/>
              </w:numPr>
              <w:ind w:left="319"/>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Capacity Building (Outcome 1.3)</w:t>
            </w:r>
          </w:p>
          <w:p w14:paraId="7DAD898A" w14:textId="77777777" w:rsidR="00B9751C" w:rsidRPr="002B14F0" w:rsidRDefault="00B9751C" w:rsidP="00163FD5">
            <w:pPr>
              <w:pStyle w:val="ListParagraph"/>
              <w:numPr>
                <w:ilvl w:val="0"/>
                <w:numId w:val="15"/>
              </w:numPr>
              <w:ind w:left="319"/>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Incentives for Green Lending (Output 2.2.6)</w:t>
            </w:r>
          </w:p>
          <w:p w14:paraId="05827FED" w14:textId="77777777" w:rsidR="00B9751C" w:rsidRPr="002B14F0" w:rsidRDefault="00B9751C" w:rsidP="00163FD5">
            <w:pPr>
              <w:pStyle w:val="ListParagraph"/>
              <w:numPr>
                <w:ilvl w:val="0"/>
                <w:numId w:val="15"/>
              </w:numPr>
              <w:ind w:left="319"/>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Innovative Financial Products (Outcome 2.4)</w:t>
            </w:r>
          </w:p>
          <w:p w14:paraId="7A726642" w14:textId="1D1F7D3B" w:rsidR="00B9751C" w:rsidRPr="002B14F0" w:rsidRDefault="00B9751C" w:rsidP="00163FD5">
            <w:pPr>
              <w:pStyle w:val="ListParagraph"/>
              <w:numPr>
                <w:ilvl w:val="0"/>
                <w:numId w:val="15"/>
              </w:numPr>
              <w:ind w:left="319"/>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Transparency and Accountability (</w:t>
            </w:r>
            <w:r w:rsidR="00E5125A">
              <w:rPr>
                <w:rFonts w:asciiTheme="majorHAnsi" w:hAnsiTheme="majorHAnsi" w:cstheme="majorHAnsi"/>
                <w:sz w:val="18"/>
                <w:szCs w:val="18"/>
              </w:rPr>
              <w:t xml:space="preserve">Outcome 1.1, </w:t>
            </w:r>
            <w:r w:rsidRPr="002B14F0">
              <w:rPr>
                <w:rFonts w:asciiTheme="majorHAnsi" w:hAnsiTheme="majorHAnsi" w:cstheme="majorHAnsi"/>
                <w:sz w:val="18"/>
                <w:szCs w:val="18"/>
              </w:rPr>
              <w:t>Outcome 5.1)</w:t>
            </w:r>
          </w:p>
        </w:tc>
      </w:tr>
      <w:tr w:rsidR="00B9751C" w:rsidRPr="002B14F0" w14:paraId="6119858C" w14:textId="77777777" w:rsidTr="00D424C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5" w:type="dxa"/>
            <w:vAlign w:val="center"/>
          </w:tcPr>
          <w:p w14:paraId="0C11B863" w14:textId="77777777" w:rsidR="00B9751C" w:rsidRPr="002B14F0" w:rsidRDefault="00B9751C">
            <w:pPr>
              <w:pStyle w:val="Default"/>
              <w:rPr>
                <w:rFonts w:asciiTheme="majorHAnsi" w:hAnsiTheme="majorHAnsi" w:cstheme="majorHAnsi"/>
                <w:color w:val="auto"/>
                <w:sz w:val="18"/>
                <w:szCs w:val="18"/>
                <w:lang w:val="ru-RU"/>
              </w:rPr>
            </w:pPr>
            <w:r w:rsidRPr="002B14F0">
              <w:rPr>
                <w:rFonts w:asciiTheme="majorHAnsi" w:hAnsiTheme="majorHAnsi" w:cstheme="majorHAnsi"/>
                <w:color w:val="auto"/>
                <w:sz w:val="18"/>
                <w:szCs w:val="18"/>
                <w:lang w:val="en-GB"/>
              </w:rPr>
              <w:t>Green Taxonomy</w:t>
            </w:r>
            <w:r w:rsidRPr="002B14F0">
              <w:rPr>
                <w:rStyle w:val="FootnoteReference"/>
                <w:rFonts w:asciiTheme="majorHAnsi" w:hAnsiTheme="majorHAnsi" w:cstheme="majorHAnsi"/>
                <w:b w:val="0"/>
                <w:bCs w:val="0"/>
                <w:color w:val="auto"/>
                <w:sz w:val="18"/>
                <w:szCs w:val="18"/>
                <w:lang w:val="en-GB"/>
              </w:rPr>
              <w:footnoteReference w:id="69"/>
            </w:r>
          </w:p>
        </w:tc>
        <w:tc>
          <w:tcPr>
            <w:tcW w:w="3562" w:type="dxa"/>
          </w:tcPr>
          <w:p w14:paraId="1EDB77D9" w14:textId="77777777" w:rsidR="00B9751C" w:rsidRPr="002B14F0" w:rsidRDefault="00B9751C" w:rsidP="00163FD5">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Renewable Energy Development</w:t>
            </w:r>
          </w:p>
          <w:p w14:paraId="6491770D" w14:textId="77777777" w:rsidR="00B9751C" w:rsidRPr="002B14F0" w:rsidRDefault="00B9751C" w:rsidP="00163FD5">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Green Transportation</w:t>
            </w:r>
          </w:p>
          <w:p w14:paraId="3B9128E8" w14:textId="77777777" w:rsidR="00B9751C" w:rsidRPr="002B14F0" w:rsidRDefault="00B9751C" w:rsidP="00163FD5">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Energy Efficiency</w:t>
            </w:r>
          </w:p>
          <w:p w14:paraId="4ADB176F" w14:textId="77777777" w:rsidR="00B9751C" w:rsidRPr="002B14F0" w:rsidRDefault="00B9751C" w:rsidP="00163FD5">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Sustainable Waste Management</w:t>
            </w:r>
          </w:p>
          <w:p w14:paraId="521EDE48" w14:textId="77777777" w:rsidR="00B9751C" w:rsidRPr="002B14F0" w:rsidRDefault="00B9751C" w:rsidP="00163FD5">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Water Resource Management</w:t>
            </w:r>
          </w:p>
          <w:p w14:paraId="05424BA6" w14:textId="77777777" w:rsidR="00B9751C" w:rsidRPr="002B14F0" w:rsidRDefault="00B9751C" w:rsidP="00163FD5">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Sustainable Agriculture</w:t>
            </w:r>
          </w:p>
          <w:p w14:paraId="5B5CCA76" w14:textId="77777777" w:rsidR="00B9751C" w:rsidRPr="002B14F0" w:rsidRDefault="00B9751C" w:rsidP="00163FD5">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Circular Economy Initiatives</w:t>
            </w:r>
          </w:p>
          <w:p w14:paraId="7403CA0A" w14:textId="361DBD85" w:rsidR="00B9751C" w:rsidRPr="006F43FC" w:rsidRDefault="00B9751C" w:rsidP="00163FD5">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Infrastructure Modernization</w:t>
            </w:r>
          </w:p>
        </w:tc>
        <w:tc>
          <w:tcPr>
            <w:tcW w:w="3260" w:type="dxa"/>
          </w:tcPr>
          <w:p w14:paraId="63820AE7" w14:textId="77777777" w:rsidR="00D424C2" w:rsidRPr="00D424C2" w:rsidRDefault="00D424C2" w:rsidP="00D424C2">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(Outcome 1.</w:t>
            </w:r>
            <w:r>
              <w:rPr>
                <w:rFonts w:asciiTheme="majorHAnsi" w:hAnsiTheme="majorHAnsi" w:cstheme="majorHAnsi"/>
                <w:sz w:val="18"/>
                <w:szCs w:val="18"/>
              </w:rPr>
              <w:t>1</w:t>
            </w:r>
            <w:r w:rsidRPr="002B14F0">
              <w:rPr>
                <w:rFonts w:asciiTheme="majorHAnsi" w:hAnsiTheme="majorHAnsi" w:cstheme="majorHAnsi"/>
                <w:sz w:val="18"/>
                <w:szCs w:val="18"/>
              </w:rPr>
              <w:t>)</w:t>
            </w:r>
          </w:p>
          <w:p w14:paraId="0EE92BBE" w14:textId="77777777" w:rsidR="00D424C2" w:rsidRPr="002B14F0" w:rsidRDefault="00D424C2" w:rsidP="00D424C2">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Validatio</w:t>
            </w:r>
            <w:r>
              <w:rPr>
                <w:rFonts w:asciiTheme="majorHAnsi" w:hAnsiTheme="majorHAnsi" w:cstheme="majorHAnsi"/>
                <w:sz w:val="18"/>
                <w:szCs w:val="18"/>
              </w:rPr>
              <w:t>n</w:t>
            </w:r>
            <w:r>
              <w:rPr>
                <w:rFonts w:asciiTheme="majorHAnsi" w:hAnsiTheme="majorHAnsi" w:cstheme="majorHAnsi"/>
                <w:sz w:val="18"/>
                <w:szCs w:val="18"/>
                <w:lang w:val="en-GB"/>
              </w:rPr>
              <w:t>,</w:t>
            </w:r>
            <w:r w:rsidRPr="002B14F0">
              <w:rPr>
                <w:rFonts w:asciiTheme="majorHAnsi" w:hAnsiTheme="majorHAnsi" w:cstheme="majorHAnsi"/>
                <w:sz w:val="18"/>
                <w:szCs w:val="18"/>
              </w:rPr>
              <w:t xml:space="preserve"> Verification</w:t>
            </w:r>
            <w:r>
              <w:rPr>
                <w:rFonts w:asciiTheme="majorHAnsi" w:hAnsiTheme="majorHAnsi" w:cstheme="majorHAnsi"/>
                <w:sz w:val="18"/>
                <w:szCs w:val="18"/>
              </w:rPr>
              <w:t xml:space="preserve"> and Reporting</w:t>
            </w:r>
            <w:r w:rsidRPr="002B14F0">
              <w:rPr>
                <w:rFonts w:asciiTheme="majorHAnsi" w:hAnsiTheme="majorHAnsi" w:cstheme="majorHAnsi"/>
                <w:sz w:val="18"/>
                <w:szCs w:val="18"/>
              </w:rPr>
              <w:t xml:space="preserve"> Systems (Outcome 1.3)</w:t>
            </w:r>
          </w:p>
          <w:p w14:paraId="2D2D7A19" w14:textId="77777777" w:rsidR="00B9751C" w:rsidRPr="002B14F0" w:rsidRDefault="00B9751C" w:rsidP="00D424C2">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Operationalization of the Green Taxonomy (Outcome 2.2)</w:t>
            </w:r>
          </w:p>
          <w:p w14:paraId="44B1D56B" w14:textId="77777777" w:rsidR="00B9751C" w:rsidRPr="002B14F0" w:rsidRDefault="00B9751C" w:rsidP="00D424C2">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Piloting Sectoral Financial Products (Outcome 2.4)</w:t>
            </w:r>
          </w:p>
          <w:p w14:paraId="75553685" w14:textId="77777777" w:rsidR="00B9751C" w:rsidRPr="002B14F0" w:rsidRDefault="00B9751C" w:rsidP="00D424C2">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B14F0">
              <w:rPr>
                <w:rFonts w:asciiTheme="majorHAnsi" w:hAnsiTheme="majorHAnsi" w:cstheme="majorHAnsi"/>
                <w:sz w:val="18"/>
                <w:szCs w:val="18"/>
              </w:rPr>
              <w:t>Knowledge Exchange and Capacity Building (Outcome 5.1)</w:t>
            </w:r>
          </w:p>
        </w:tc>
      </w:tr>
    </w:tbl>
    <w:p w14:paraId="686CF766" w14:textId="77777777" w:rsidR="00390FB3" w:rsidRPr="00B9751C" w:rsidRDefault="00390FB3" w:rsidP="00F97840"/>
    <w:p w14:paraId="59AC83F0" w14:textId="5FB5F518" w:rsidR="00F97840" w:rsidRPr="00F97840" w:rsidRDefault="00DC315F" w:rsidP="00F97840">
      <w:pPr>
        <w:rPr>
          <w:b/>
          <w:bCs/>
        </w:rPr>
      </w:pPr>
      <w:r>
        <w:rPr>
          <w:b/>
          <w:bCs/>
        </w:rPr>
        <w:t xml:space="preserve">ii) </w:t>
      </w:r>
      <w:r w:rsidR="00F97840" w:rsidRPr="00F97840">
        <w:rPr>
          <w:b/>
          <w:bCs/>
        </w:rPr>
        <w:t>Institutional Framework</w:t>
      </w:r>
    </w:p>
    <w:p w14:paraId="184D97A1" w14:textId="18D87C68" w:rsidR="00DF6C84" w:rsidRPr="007C59FB" w:rsidRDefault="00DF6C84" w:rsidP="009D0F8F">
      <w:pPr>
        <w:pStyle w:val="Default"/>
        <w:numPr>
          <w:ilvl w:val="0"/>
          <w:numId w:val="29"/>
        </w:numPr>
        <w:spacing w:before="120" w:after="120"/>
        <w:jc w:val="both"/>
        <w:rPr>
          <w:rFonts w:asciiTheme="minorHAnsi" w:hAnsiTheme="minorHAnsi" w:cstheme="minorHAnsi"/>
          <w:sz w:val="20"/>
          <w:szCs w:val="20"/>
          <w:lang w:val="en-GB"/>
        </w:rPr>
      </w:pPr>
      <w:r w:rsidRPr="007C59FB">
        <w:rPr>
          <w:rFonts w:asciiTheme="minorHAnsi" w:hAnsiTheme="minorHAnsi" w:cstheme="minorHAnsi"/>
          <w:sz w:val="20"/>
          <w:szCs w:val="20"/>
          <w:lang w:val="en-GB"/>
        </w:rPr>
        <w:lastRenderedPageBreak/>
        <w:t>The institutional framework for addressing climate change and advancing green finance in Kyrgyzstan comprises key interagency coordination platforms, government ministries, financial institutions, and sectoral agencies. The Government has established two primary coordination platforms:</w:t>
      </w:r>
    </w:p>
    <w:p w14:paraId="73BEA9F1" w14:textId="77777777" w:rsidR="00DF6C84" w:rsidRPr="007C59FB" w:rsidRDefault="00DF6C84" w:rsidP="00163FD5">
      <w:pPr>
        <w:pStyle w:val="Default"/>
        <w:numPr>
          <w:ilvl w:val="0"/>
          <w:numId w:val="9"/>
        </w:numPr>
        <w:spacing w:before="120" w:after="120"/>
        <w:jc w:val="both"/>
        <w:rPr>
          <w:rFonts w:asciiTheme="minorHAnsi" w:hAnsiTheme="minorHAnsi" w:cstheme="minorHAnsi"/>
          <w:sz w:val="20"/>
          <w:szCs w:val="20"/>
          <w:lang w:val="en-GB"/>
        </w:rPr>
      </w:pPr>
      <w:r w:rsidRPr="00703C2C">
        <w:rPr>
          <w:rFonts w:asciiTheme="minorHAnsi" w:hAnsiTheme="minorHAnsi" w:cstheme="minorHAnsi"/>
          <w:b/>
          <w:bCs/>
          <w:sz w:val="20"/>
          <w:szCs w:val="20"/>
          <w:lang w:val="en-GB"/>
        </w:rPr>
        <w:t>The Coordination Council on Climate Change, Ecology, and Sustainable Development,</w:t>
      </w:r>
      <w:r w:rsidRPr="007C59FB">
        <w:rPr>
          <w:rFonts w:asciiTheme="minorHAnsi" w:hAnsiTheme="minorHAnsi" w:cstheme="minorHAnsi"/>
          <w:sz w:val="20"/>
          <w:szCs w:val="20"/>
          <w:lang w:val="en-GB"/>
        </w:rPr>
        <w:t xml:space="preserve"> chaired by the Chair of the Cabinet of Ministers and the Head of the Presidential Administration. This council has a broad mandate encompassing a wide range of climate and sustainability issues</w:t>
      </w:r>
      <w:r>
        <w:rPr>
          <w:rStyle w:val="FootnoteReference"/>
          <w:rFonts w:asciiTheme="minorHAnsi" w:hAnsiTheme="minorHAnsi" w:cstheme="minorHAnsi"/>
          <w:sz w:val="20"/>
          <w:szCs w:val="20"/>
          <w:lang w:val="en-GB"/>
        </w:rPr>
        <w:footnoteReference w:id="70"/>
      </w:r>
      <w:r w:rsidRPr="007C59FB">
        <w:rPr>
          <w:rFonts w:asciiTheme="minorHAnsi" w:hAnsiTheme="minorHAnsi" w:cstheme="minorHAnsi"/>
          <w:sz w:val="20"/>
          <w:szCs w:val="20"/>
          <w:lang w:val="en-GB"/>
        </w:rPr>
        <w:t>.</w:t>
      </w:r>
    </w:p>
    <w:p w14:paraId="748A826F" w14:textId="77777777" w:rsidR="00DF6C84" w:rsidRPr="007C59FB" w:rsidRDefault="00DF6C84" w:rsidP="00163FD5">
      <w:pPr>
        <w:pStyle w:val="Default"/>
        <w:numPr>
          <w:ilvl w:val="0"/>
          <w:numId w:val="9"/>
        </w:numPr>
        <w:spacing w:before="120" w:after="120"/>
        <w:jc w:val="both"/>
        <w:rPr>
          <w:rFonts w:asciiTheme="minorHAnsi" w:hAnsiTheme="minorHAnsi" w:cstheme="minorHAnsi"/>
          <w:sz w:val="20"/>
          <w:szCs w:val="20"/>
          <w:lang w:val="en-GB"/>
        </w:rPr>
      </w:pPr>
      <w:r w:rsidRPr="006E0D33">
        <w:rPr>
          <w:rFonts w:asciiTheme="minorHAnsi" w:hAnsiTheme="minorHAnsi" w:cstheme="minorHAnsi"/>
          <w:b/>
          <w:bCs/>
          <w:sz w:val="20"/>
          <w:szCs w:val="20"/>
          <w:lang w:val="en-GB"/>
        </w:rPr>
        <w:t>The Coordination Committee on the Development of Green Econom</w:t>
      </w:r>
      <w:r w:rsidRPr="007C59FB">
        <w:rPr>
          <w:rFonts w:asciiTheme="minorHAnsi" w:hAnsiTheme="minorHAnsi" w:cstheme="minorHAnsi"/>
          <w:sz w:val="20"/>
          <w:szCs w:val="20"/>
          <w:lang w:val="en-GB"/>
        </w:rPr>
        <w:t>y, chaired by the First Deputy Chair of the Cabinet of Ministers. This committee has a more specific focus on engaging with the private sector and other stakeholders to implement and enhance policies supporting green economy and green business development</w:t>
      </w:r>
      <w:r w:rsidRPr="002B39B2">
        <w:rPr>
          <w:rStyle w:val="FootnoteReference"/>
          <w:rFonts w:asciiTheme="minorHAnsi" w:hAnsiTheme="minorHAnsi"/>
          <w:color w:val="auto"/>
          <w:sz w:val="20"/>
          <w:szCs w:val="20"/>
          <w:lang w:val="en-US"/>
        </w:rPr>
        <w:footnoteReference w:id="71"/>
      </w:r>
      <w:r w:rsidRPr="007C59FB">
        <w:rPr>
          <w:rFonts w:asciiTheme="minorHAnsi" w:hAnsiTheme="minorHAnsi" w:cstheme="minorHAnsi"/>
          <w:sz w:val="20"/>
          <w:szCs w:val="20"/>
          <w:lang w:val="en-GB"/>
        </w:rPr>
        <w:t>.</w:t>
      </w:r>
    </w:p>
    <w:p w14:paraId="00BAC05C" w14:textId="507AFDE9" w:rsidR="00DF6C84" w:rsidRPr="007C59FB" w:rsidRDefault="00DF6C84" w:rsidP="009D0F8F">
      <w:pPr>
        <w:pStyle w:val="Default"/>
        <w:numPr>
          <w:ilvl w:val="0"/>
          <w:numId w:val="29"/>
        </w:numPr>
        <w:spacing w:before="120" w:after="120"/>
        <w:jc w:val="both"/>
        <w:rPr>
          <w:rFonts w:asciiTheme="minorHAnsi" w:hAnsiTheme="minorHAnsi" w:cstheme="minorHAnsi"/>
          <w:sz w:val="20"/>
          <w:szCs w:val="20"/>
          <w:lang w:val="en-GB"/>
        </w:rPr>
      </w:pPr>
      <w:r w:rsidRPr="007C59FB">
        <w:rPr>
          <w:rFonts w:asciiTheme="minorHAnsi" w:hAnsiTheme="minorHAnsi" w:cstheme="minorHAnsi"/>
          <w:sz w:val="20"/>
          <w:szCs w:val="20"/>
          <w:lang w:val="en-GB"/>
        </w:rPr>
        <w:t xml:space="preserve">Despite their strategic roles, both councils have limited operational activity. Their most recent meetings were held in </w:t>
      </w:r>
      <w:r w:rsidR="00712AF6">
        <w:rPr>
          <w:rFonts w:asciiTheme="minorHAnsi" w:hAnsiTheme="minorHAnsi" w:cstheme="minorHAnsi"/>
          <w:sz w:val="20"/>
          <w:szCs w:val="20"/>
          <w:lang w:val="en-GB"/>
        </w:rPr>
        <w:t>July</w:t>
      </w:r>
      <w:r w:rsidRPr="007C59FB">
        <w:rPr>
          <w:rFonts w:asciiTheme="minorHAnsi" w:hAnsiTheme="minorHAnsi" w:cstheme="minorHAnsi"/>
          <w:sz w:val="20"/>
          <w:szCs w:val="20"/>
          <w:lang w:val="en-GB"/>
        </w:rPr>
        <w:t xml:space="preserve"> and November 2023, respectively, highlighting the need for more consistent engagement and functionality to drive meaningful progress in green finance and climate action.</w:t>
      </w:r>
    </w:p>
    <w:p w14:paraId="1772296B" w14:textId="53C27FDA" w:rsidR="00DF6C84" w:rsidRPr="001619A9" w:rsidRDefault="00DF6C84" w:rsidP="009D0F8F">
      <w:pPr>
        <w:pStyle w:val="Default"/>
        <w:numPr>
          <w:ilvl w:val="0"/>
          <w:numId w:val="29"/>
        </w:numPr>
        <w:spacing w:after="240"/>
        <w:jc w:val="both"/>
        <w:rPr>
          <w:rFonts w:asciiTheme="minorHAnsi" w:hAnsiTheme="minorHAnsi"/>
          <w:sz w:val="20"/>
          <w:szCs w:val="20"/>
          <w:lang w:val="en-US"/>
        </w:rPr>
      </w:pPr>
      <w:r w:rsidRPr="00BB31ED">
        <w:rPr>
          <w:rFonts w:asciiTheme="minorHAnsi" w:hAnsiTheme="minorHAnsi"/>
          <w:sz w:val="20"/>
          <w:szCs w:val="20"/>
          <w:lang w:val="en-GB"/>
        </w:rPr>
        <w:t xml:space="preserve">The </w:t>
      </w:r>
      <w:r w:rsidRPr="009D0F8F">
        <w:rPr>
          <w:rFonts w:asciiTheme="minorHAnsi" w:hAnsiTheme="minorHAnsi"/>
          <w:b/>
          <w:bCs/>
          <w:sz w:val="20"/>
          <w:szCs w:val="20"/>
          <w:lang w:val="en-GB"/>
        </w:rPr>
        <w:t>Ministry of Natural Resources, Ecology, and Technical Supervision (MNRETS</w:t>
      </w:r>
      <w:r w:rsidRPr="00BB31ED">
        <w:rPr>
          <w:rFonts w:asciiTheme="minorHAnsi" w:hAnsiTheme="minorHAnsi"/>
          <w:sz w:val="20"/>
          <w:szCs w:val="20"/>
          <w:lang w:val="en-GB"/>
        </w:rPr>
        <w:t xml:space="preserve">) </w:t>
      </w:r>
      <w:r w:rsidRPr="00BB31ED">
        <w:rPr>
          <w:rFonts w:asciiTheme="minorHAnsi" w:hAnsiTheme="minorHAnsi"/>
          <w:sz w:val="20"/>
          <w:szCs w:val="20"/>
          <w:lang w:val="en-US"/>
        </w:rPr>
        <w:t>is responsible for formulating and implementing state policies in the areas of environmental protection, sustainable use of natural resources, and technical oversight. Its functions include monitoring environmental conditions, regulating the use of natural resources, and ensuring compliance with environmental and technical safety standards</w:t>
      </w:r>
      <w:r>
        <w:rPr>
          <w:rStyle w:val="FootnoteReference"/>
          <w:rFonts w:asciiTheme="minorHAnsi" w:hAnsiTheme="minorHAnsi"/>
          <w:sz w:val="20"/>
          <w:szCs w:val="20"/>
          <w:lang w:val="en-US"/>
        </w:rPr>
        <w:footnoteReference w:id="72"/>
      </w:r>
      <w:r w:rsidRPr="00BB31ED">
        <w:rPr>
          <w:rFonts w:asciiTheme="minorHAnsi" w:hAnsiTheme="minorHAnsi"/>
          <w:sz w:val="20"/>
          <w:szCs w:val="20"/>
          <w:lang w:val="en-US"/>
        </w:rPr>
        <w:t xml:space="preserve">. </w:t>
      </w:r>
      <w:r w:rsidR="005901C2">
        <w:rPr>
          <w:rFonts w:asciiTheme="minorHAnsi" w:hAnsiTheme="minorHAnsi"/>
          <w:sz w:val="20"/>
          <w:szCs w:val="20"/>
          <w:lang w:val="en-US"/>
        </w:rPr>
        <w:t>MNRETS</w:t>
      </w:r>
      <w:r w:rsidRPr="00BB31ED">
        <w:rPr>
          <w:rFonts w:asciiTheme="minorHAnsi" w:hAnsiTheme="minorHAnsi"/>
          <w:sz w:val="20"/>
          <w:szCs w:val="20"/>
          <w:lang w:val="en-US"/>
        </w:rPr>
        <w:t xml:space="preserve"> also acts as</w:t>
      </w:r>
      <w:r w:rsidRPr="00BB31ED">
        <w:rPr>
          <w:rFonts w:asciiTheme="minorHAnsi" w:hAnsiTheme="minorHAnsi"/>
          <w:sz w:val="20"/>
          <w:szCs w:val="20"/>
          <w:lang w:val="en-GB"/>
        </w:rPr>
        <w:t xml:space="preserve"> the GCF National Designated Authority (NDA)</w:t>
      </w:r>
      <w:r>
        <w:rPr>
          <w:rFonts w:asciiTheme="minorHAnsi" w:hAnsiTheme="minorHAnsi" w:cstheme="minorHAnsi"/>
          <w:sz w:val="20"/>
          <w:szCs w:val="20"/>
          <w:lang w:val="en-GB"/>
        </w:rPr>
        <w:t>.</w:t>
      </w:r>
    </w:p>
    <w:p w14:paraId="11ABB6DB" w14:textId="69358AF1" w:rsidR="00DF6C84" w:rsidRDefault="00DF6C84" w:rsidP="0042000B">
      <w:pPr>
        <w:pStyle w:val="Default"/>
        <w:numPr>
          <w:ilvl w:val="0"/>
          <w:numId w:val="29"/>
        </w:numPr>
        <w:spacing w:after="240"/>
        <w:jc w:val="both"/>
        <w:rPr>
          <w:rFonts w:asciiTheme="minorHAnsi" w:hAnsiTheme="minorHAnsi"/>
          <w:sz w:val="20"/>
          <w:szCs w:val="20"/>
          <w:lang w:val="en-US"/>
        </w:rPr>
      </w:pPr>
      <w:r w:rsidRPr="001619A9">
        <w:rPr>
          <w:rFonts w:asciiTheme="minorHAnsi" w:hAnsiTheme="minorHAnsi"/>
          <w:sz w:val="20"/>
          <w:szCs w:val="20"/>
          <w:lang w:val="en-US"/>
        </w:rPr>
        <w:t xml:space="preserve">The </w:t>
      </w:r>
      <w:r w:rsidRPr="00B17311">
        <w:rPr>
          <w:rFonts w:asciiTheme="minorHAnsi" w:hAnsiTheme="minorHAnsi"/>
          <w:b/>
          <w:bCs/>
          <w:sz w:val="20"/>
          <w:szCs w:val="20"/>
          <w:lang w:val="en-US"/>
        </w:rPr>
        <w:t>Ministry of Economy and Commerce</w:t>
      </w:r>
      <w:r w:rsidRPr="00435FA4">
        <w:rPr>
          <w:rFonts w:asciiTheme="minorHAnsi" w:hAnsiTheme="minorHAnsi"/>
          <w:sz w:val="20"/>
          <w:szCs w:val="20"/>
          <w:lang w:val="en-US"/>
        </w:rPr>
        <w:t xml:space="preserve"> plays a central role in shaping and implementing economic policy, the promotion of sustainable development and green economy initiatives</w:t>
      </w:r>
      <w:r>
        <w:rPr>
          <w:rStyle w:val="FootnoteReference"/>
          <w:rFonts w:asciiTheme="minorHAnsi" w:hAnsiTheme="minorHAnsi"/>
          <w:sz w:val="20"/>
          <w:szCs w:val="20"/>
          <w:lang w:val="en-US"/>
        </w:rPr>
        <w:footnoteReference w:id="73"/>
      </w:r>
      <w:r w:rsidRPr="00435FA4">
        <w:rPr>
          <w:rFonts w:asciiTheme="minorHAnsi" w:hAnsiTheme="minorHAnsi"/>
          <w:sz w:val="20"/>
          <w:szCs w:val="20"/>
          <w:lang w:val="en-US"/>
        </w:rPr>
        <w:t>. It is responsible for developing and monitoring strategic documents such as the Green Economy Development Program and fostering policies that encourage innovation, investment, and economic diversification. The Ministry also leads efforts to promote international economic cooperation and attract foreign investments to advance sustainable development goals. Additionally, it serves as the Secretariat of the Coordination Committee on the Development of Green Economy. Through its regulatory and policy-making functions, the Ministry supports the integration of green and inclusive practices into the national economy, focusing on environmental sustainability and resource efficiency.</w:t>
      </w:r>
    </w:p>
    <w:p w14:paraId="0392AB65" w14:textId="2AF93A9B" w:rsidR="00DF6C84" w:rsidRPr="00DF6C84" w:rsidRDefault="00DF6C84" w:rsidP="0042000B">
      <w:pPr>
        <w:pStyle w:val="Default"/>
        <w:numPr>
          <w:ilvl w:val="0"/>
          <w:numId w:val="29"/>
        </w:numPr>
        <w:spacing w:after="240"/>
        <w:jc w:val="both"/>
        <w:rPr>
          <w:rFonts w:asciiTheme="minorHAnsi" w:hAnsiTheme="minorHAnsi"/>
          <w:sz w:val="20"/>
          <w:szCs w:val="20"/>
          <w:lang w:val="en-US"/>
        </w:rPr>
      </w:pPr>
      <w:r w:rsidRPr="00BA4A03">
        <w:rPr>
          <w:rFonts w:asciiTheme="minorHAnsi" w:hAnsiTheme="minorHAnsi"/>
          <w:sz w:val="20"/>
          <w:szCs w:val="20"/>
          <w:lang w:val="en-US"/>
        </w:rPr>
        <w:t xml:space="preserve">The </w:t>
      </w:r>
      <w:r w:rsidRPr="003D24C2">
        <w:rPr>
          <w:rFonts w:asciiTheme="minorHAnsi" w:hAnsiTheme="minorHAnsi"/>
          <w:b/>
          <w:bCs/>
          <w:sz w:val="20"/>
          <w:szCs w:val="20"/>
          <w:lang w:val="en-US"/>
        </w:rPr>
        <w:t>National Bank of the Kyrgyz Republic (NBKR)</w:t>
      </w:r>
      <w:r w:rsidRPr="00BA4A03">
        <w:rPr>
          <w:rFonts w:asciiTheme="minorHAnsi" w:hAnsiTheme="minorHAnsi"/>
          <w:sz w:val="20"/>
          <w:szCs w:val="20"/>
          <w:lang w:val="en-US"/>
        </w:rPr>
        <w:t xml:space="preserve"> is the central regulatory authority responsible for maintaining the stability of the national financial system</w:t>
      </w:r>
      <w:r>
        <w:rPr>
          <w:rStyle w:val="FootnoteReference"/>
          <w:rFonts w:asciiTheme="minorHAnsi" w:hAnsiTheme="minorHAnsi"/>
          <w:sz w:val="20"/>
          <w:szCs w:val="20"/>
          <w:lang w:val="en-US"/>
        </w:rPr>
        <w:footnoteReference w:id="74"/>
      </w:r>
      <w:r w:rsidRPr="00BA4A03">
        <w:rPr>
          <w:rFonts w:asciiTheme="minorHAnsi" w:hAnsiTheme="minorHAnsi"/>
          <w:sz w:val="20"/>
          <w:szCs w:val="20"/>
          <w:lang w:val="en-US"/>
        </w:rPr>
        <w:t>. It regulates and supervises banking and non-banking financial institutions, ensuring compliance with prudential standards and fostering a secure banking environment. The NBKR also manages monetary policy, oversees payment systems, and facilitates foreign exchange operations to ensure macroeconomic stability. Additionally, it develops and enforces financial regulations, promoting transparency, risk management, and good governance within the financial sector. As part of its evolving role, NBKR is actively working to integrate green finance into its regulatory framework, focusing on ESG reporting, green lending standards, and risk management to support Kyrgyzstan's sustainable development goals.</w:t>
      </w:r>
    </w:p>
    <w:p w14:paraId="2CC5E386" w14:textId="649AA378" w:rsidR="00DF6C84" w:rsidRDefault="00DF6C84" w:rsidP="0042000B">
      <w:pPr>
        <w:pStyle w:val="Default"/>
        <w:numPr>
          <w:ilvl w:val="0"/>
          <w:numId w:val="29"/>
        </w:numPr>
        <w:spacing w:after="240"/>
        <w:jc w:val="both"/>
        <w:rPr>
          <w:rFonts w:asciiTheme="minorHAnsi" w:hAnsiTheme="minorHAnsi"/>
          <w:sz w:val="20"/>
          <w:szCs w:val="20"/>
          <w:lang w:val="en-US"/>
        </w:rPr>
      </w:pPr>
      <w:r w:rsidRPr="00DB7F30">
        <w:rPr>
          <w:rFonts w:asciiTheme="minorHAnsi" w:hAnsiTheme="minorHAnsi"/>
          <w:sz w:val="20"/>
          <w:szCs w:val="20"/>
          <w:lang w:val="en-US"/>
        </w:rPr>
        <w:t xml:space="preserve">The </w:t>
      </w:r>
      <w:r w:rsidRPr="003D24C2">
        <w:rPr>
          <w:rFonts w:asciiTheme="minorHAnsi" w:hAnsiTheme="minorHAnsi"/>
          <w:b/>
          <w:bCs/>
          <w:sz w:val="20"/>
          <w:szCs w:val="20"/>
          <w:lang w:val="en-US"/>
        </w:rPr>
        <w:t>Climate Finance Center (CFC</w:t>
      </w:r>
      <w:r w:rsidRPr="00DB7F30">
        <w:rPr>
          <w:rFonts w:asciiTheme="minorHAnsi" w:hAnsiTheme="minorHAnsi"/>
          <w:sz w:val="20"/>
          <w:szCs w:val="20"/>
          <w:lang w:val="en-US"/>
        </w:rPr>
        <w:t>) serves as the primary national institution responsible for coordinating climate finance activities in the Kyrgyz Republic. It facilitates the development and implementation of climate-related projects and programs, ensuring alignment with national priorities and international commitments. The CFC is tasked with engaging stakeholders, including government bodies, private sector entities, and international organizations, to mobilize financial resources for climate adaptation and mitigation. It provides technical and advisory support for project preparation, capacity building, and accessing climate funds such as the GCF.</w:t>
      </w:r>
      <w:r>
        <w:rPr>
          <w:rFonts w:asciiTheme="minorHAnsi" w:hAnsiTheme="minorHAnsi"/>
          <w:sz w:val="20"/>
          <w:szCs w:val="20"/>
          <w:lang w:val="en-US"/>
        </w:rPr>
        <w:t xml:space="preserve"> </w:t>
      </w:r>
      <w:r w:rsidR="00712AF6">
        <w:rPr>
          <w:rFonts w:asciiTheme="minorHAnsi" w:hAnsiTheme="minorHAnsi"/>
          <w:sz w:val="20"/>
          <w:szCs w:val="20"/>
          <w:lang w:val="en-US"/>
        </w:rPr>
        <w:t xml:space="preserve">For GCF, CFC serves as </w:t>
      </w:r>
      <w:r w:rsidR="00712AF6" w:rsidRPr="001619A9">
        <w:rPr>
          <w:rFonts w:asciiTheme="minorHAnsi" w:hAnsiTheme="minorHAnsi"/>
          <w:sz w:val="20"/>
          <w:szCs w:val="20"/>
          <w:lang w:val="en-US"/>
        </w:rPr>
        <w:t>Operational Focal Point</w:t>
      </w:r>
      <w:r w:rsidR="00712AF6">
        <w:rPr>
          <w:rFonts w:asciiTheme="minorHAnsi" w:hAnsiTheme="minorHAnsi"/>
          <w:sz w:val="20"/>
          <w:szCs w:val="20"/>
          <w:lang w:val="en-US"/>
        </w:rPr>
        <w:t xml:space="preserve">. </w:t>
      </w:r>
      <w:r>
        <w:rPr>
          <w:rFonts w:asciiTheme="minorHAnsi" w:hAnsiTheme="minorHAnsi"/>
          <w:sz w:val="20"/>
          <w:szCs w:val="20"/>
          <w:lang w:val="en-US"/>
        </w:rPr>
        <w:t>A</w:t>
      </w:r>
      <w:r w:rsidRPr="00551D8F">
        <w:rPr>
          <w:rFonts w:asciiTheme="minorHAnsi" w:hAnsiTheme="minorHAnsi"/>
          <w:sz w:val="20"/>
          <w:szCs w:val="20"/>
          <w:lang w:val="en-US"/>
        </w:rPr>
        <w:t xml:space="preserve">s the Secretariat of the Coordination Council on Climate Change, Ecology, and Sustainable Development, the CFC plays a central role in policy formulation </w:t>
      </w:r>
      <w:r w:rsidRPr="00551D8F">
        <w:rPr>
          <w:rFonts w:asciiTheme="minorHAnsi" w:hAnsiTheme="minorHAnsi"/>
          <w:sz w:val="20"/>
          <w:szCs w:val="20"/>
          <w:lang w:val="en-US"/>
        </w:rPr>
        <w:lastRenderedPageBreak/>
        <w:t>and monitoring climate investments to advance the country’s green and sustainable development agenda.</w:t>
      </w:r>
    </w:p>
    <w:p w14:paraId="3EB652C0" w14:textId="15B45F81" w:rsidR="00DF6C84" w:rsidRDefault="00DF6C84" w:rsidP="0042000B">
      <w:pPr>
        <w:pStyle w:val="Default"/>
        <w:numPr>
          <w:ilvl w:val="0"/>
          <w:numId w:val="29"/>
        </w:numPr>
        <w:spacing w:after="240"/>
        <w:jc w:val="both"/>
        <w:rPr>
          <w:rFonts w:asciiTheme="minorHAnsi" w:hAnsiTheme="minorHAnsi"/>
          <w:sz w:val="20"/>
          <w:szCs w:val="20"/>
          <w:lang w:val="en-US"/>
        </w:rPr>
      </w:pPr>
      <w:r w:rsidRPr="005C22A5">
        <w:rPr>
          <w:rFonts w:asciiTheme="minorHAnsi" w:hAnsiTheme="minorHAnsi"/>
          <w:sz w:val="20"/>
          <w:szCs w:val="20"/>
          <w:lang w:val="en-US"/>
        </w:rPr>
        <w:t xml:space="preserve">Several </w:t>
      </w:r>
      <w:r w:rsidRPr="00C82CB1">
        <w:rPr>
          <w:rFonts w:asciiTheme="minorHAnsi" w:hAnsiTheme="minorHAnsi"/>
          <w:b/>
          <w:bCs/>
          <w:sz w:val="20"/>
          <w:szCs w:val="20"/>
          <w:lang w:val="en-US"/>
        </w:rPr>
        <w:t>sectoral ministries</w:t>
      </w:r>
      <w:r w:rsidRPr="005C22A5">
        <w:rPr>
          <w:rFonts w:asciiTheme="minorHAnsi" w:hAnsiTheme="minorHAnsi"/>
          <w:sz w:val="20"/>
          <w:szCs w:val="20"/>
          <w:lang w:val="en-US"/>
        </w:rPr>
        <w:t xml:space="preserve"> and agencies play key roles in Kyrgyzstan's climate change policy. The Ministry of Energy leads renewable energy initiatives, while the Ministry of Water Resources, Agriculture, and Processing Industry focuses on climate-resilient agriculture and water management. The Ministry of Transport and Communications advances low-carbon transport infrastructure, and the State Agency for Construction, Housing, and Communal Services promotes energy efficiency in urban development. Local governments implement adaptation and mitigation strategies at the community level. Additionally, the State Customs Service and State Tax Service administ</w:t>
      </w:r>
      <w:r>
        <w:rPr>
          <w:rFonts w:asciiTheme="minorHAnsi" w:hAnsiTheme="minorHAnsi"/>
          <w:sz w:val="20"/>
          <w:szCs w:val="20"/>
          <w:lang w:val="en-US"/>
        </w:rPr>
        <w:t>er</w:t>
      </w:r>
      <w:r w:rsidRPr="005C22A5">
        <w:rPr>
          <w:rFonts w:asciiTheme="minorHAnsi" w:hAnsiTheme="minorHAnsi"/>
          <w:sz w:val="20"/>
          <w:szCs w:val="20"/>
          <w:lang w:val="en-US"/>
        </w:rPr>
        <w:t xml:space="preserve"> fiscal policies and incentives for green technologies.</w:t>
      </w:r>
    </w:p>
    <w:p w14:paraId="73916162" w14:textId="515FE259" w:rsidR="00DF6C84" w:rsidRDefault="00DF6C84" w:rsidP="0042000B">
      <w:pPr>
        <w:pStyle w:val="Default"/>
        <w:numPr>
          <w:ilvl w:val="0"/>
          <w:numId w:val="29"/>
        </w:numPr>
        <w:spacing w:after="240"/>
        <w:jc w:val="both"/>
        <w:rPr>
          <w:rFonts w:asciiTheme="minorHAnsi" w:hAnsiTheme="minorHAnsi"/>
          <w:sz w:val="20"/>
          <w:szCs w:val="20"/>
          <w:lang w:val="en-US"/>
        </w:rPr>
      </w:pPr>
      <w:r w:rsidRPr="00C82CB1">
        <w:rPr>
          <w:rFonts w:asciiTheme="minorHAnsi" w:hAnsiTheme="minorHAnsi"/>
          <w:b/>
          <w:bCs/>
          <w:sz w:val="20"/>
          <w:szCs w:val="20"/>
          <w:lang w:val="en-US"/>
        </w:rPr>
        <w:t>The Union of Banks of Kyrgyzstan</w:t>
      </w:r>
      <w:r w:rsidRPr="00AE16F8">
        <w:rPr>
          <w:rFonts w:asciiTheme="minorHAnsi" w:hAnsiTheme="minorHAnsi"/>
          <w:sz w:val="20"/>
          <w:szCs w:val="20"/>
          <w:lang w:val="en-US"/>
        </w:rPr>
        <w:t xml:space="preserve"> represents the </w:t>
      </w:r>
      <w:r>
        <w:rPr>
          <w:rFonts w:asciiTheme="minorHAnsi" w:hAnsiTheme="minorHAnsi"/>
          <w:sz w:val="20"/>
          <w:szCs w:val="20"/>
          <w:lang w:val="en-US"/>
        </w:rPr>
        <w:t>country</w:t>
      </w:r>
      <w:r w:rsidRPr="00AE16F8">
        <w:rPr>
          <w:rFonts w:asciiTheme="minorHAnsi" w:hAnsiTheme="minorHAnsi"/>
          <w:sz w:val="20"/>
          <w:szCs w:val="20"/>
          <w:lang w:val="en-US"/>
        </w:rPr>
        <w:t>'s banking sector, advocating for member interests and promoting a stable financial environment. It facilitates dialogue among banks, regulators, and stakeholders to address industry challenges and enhance banking practices. The Union offers training programs to build banking professionals' capacities and engages with government bodies to shape regulatory frameworks that support economic growth and financial stability. In line with sustainable development goals, the Union has established the Central Asian Academy on ESG.</w:t>
      </w:r>
    </w:p>
    <w:p w14:paraId="2B670D5D" w14:textId="08CBC675" w:rsidR="004667D2" w:rsidRPr="004F283B" w:rsidRDefault="00DF6C84" w:rsidP="0042000B">
      <w:pPr>
        <w:pStyle w:val="Default"/>
        <w:numPr>
          <w:ilvl w:val="0"/>
          <w:numId w:val="29"/>
        </w:numPr>
        <w:spacing w:after="240"/>
        <w:jc w:val="both"/>
        <w:rPr>
          <w:rFonts w:asciiTheme="minorHAnsi" w:hAnsiTheme="minorHAnsi"/>
          <w:sz w:val="20"/>
          <w:szCs w:val="20"/>
          <w:lang w:val="en-US"/>
        </w:rPr>
      </w:pPr>
      <w:r w:rsidRPr="006063E9">
        <w:rPr>
          <w:rFonts w:asciiTheme="minorHAnsi" w:hAnsiTheme="minorHAnsi"/>
          <w:sz w:val="20"/>
          <w:szCs w:val="20"/>
          <w:lang w:val="en-US"/>
        </w:rPr>
        <w:t xml:space="preserve">The </w:t>
      </w:r>
      <w:r w:rsidRPr="00C82CB1">
        <w:rPr>
          <w:rFonts w:asciiTheme="minorHAnsi" w:hAnsiTheme="minorHAnsi"/>
          <w:b/>
          <w:bCs/>
          <w:sz w:val="20"/>
          <w:szCs w:val="20"/>
          <w:lang w:val="en-US"/>
        </w:rPr>
        <w:t>State Development Bank of the Kyrgyz Republic (SDB</w:t>
      </w:r>
      <w:r w:rsidRPr="006063E9">
        <w:rPr>
          <w:rFonts w:asciiTheme="minorHAnsi" w:hAnsiTheme="minorHAnsi"/>
          <w:sz w:val="20"/>
          <w:szCs w:val="20"/>
          <w:lang w:val="en-US"/>
        </w:rPr>
        <w:t xml:space="preserve">) </w:t>
      </w:r>
      <w:r>
        <w:rPr>
          <w:rFonts w:asciiTheme="minorHAnsi" w:hAnsiTheme="minorHAnsi"/>
          <w:sz w:val="20"/>
          <w:szCs w:val="20"/>
          <w:lang w:val="en-US"/>
        </w:rPr>
        <w:t>was established in 2022. Main objective of the financial institution is</w:t>
      </w:r>
      <w:r w:rsidRPr="006063E9">
        <w:rPr>
          <w:rFonts w:asciiTheme="minorHAnsi" w:hAnsiTheme="minorHAnsi"/>
          <w:sz w:val="20"/>
          <w:szCs w:val="20"/>
          <w:lang w:val="en-US"/>
        </w:rPr>
        <w:t xml:space="preserve"> to diversify and stimulate the national economy by investing in large-scale projects across sectors such as industry, mining, green finance, transport, and logistics.</w:t>
      </w:r>
      <w:r>
        <w:rPr>
          <w:rFonts w:asciiTheme="minorHAnsi" w:hAnsiTheme="minorHAnsi"/>
          <w:sz w:val="20"/>
          <w:szCs w:val="20"/>
          <w:lang w:val="en-US"/>
        </w:rPr>
        <w:t xml:space="preserve"> </w:t>
      </w:r>
      <w:r w:rsidRPr="0011272D">
        <w:rPr>
          <w:rFonts w:asciiTheme="minorHAnsi" w:hAnsiTheme="minorHAnsi"/>
          <w:sz w:val="20"/>
          <w:szCs w:val="20"/>
          <w:lang w:val="en-US"/>
        </w:rPr>
        <w:t xml:space="preserve">DB) has recently intensified its efforts in green finance by launching targeted financing programs for environmentally sustainable projects. </w:t>
      </w:r>
      <w:r>
        <w:rPr>
          <w:rFonts w:asciiTheme="minorHAnsi" w:hAnsiTheme="minorHAnsi"/>
          <w:sz w:val="20"/>
          <w:szCs w:val="20"/>
          <w:lang w:val="en-US"/>
        </w:rPr>
        <w:t>With support of UNDP, i</w:t>
      </w:r>
      <w:r w:rsidRPr="0011272D">
        <w:rPr>
          <w:rFonts w:asciiTheme="minorHAnsi" w:hAnsiTheme="minorHAnsi"/>
          <w:sz w:val="20"/>
          <w:szCs w:val="20"/>
          <w:lang w:val="en-US"/>
        </w:rPr>
        <w:t xml:space="preserve">n April 2024, SDB introduced a credit initiative to fund projects that meet green criteria through partner banks and financial institutions, focusing on areas such as renewable energy, energy efficiency, and eco-friendly construction. This program offers loans ranging from 5 million to 100 million Kyrgyz </w:t>
      </w:r>
      <w:r w:rsidR="00083B09" w:rsidRPr="0011272D">
        <w:rPr>
          <w:rFonts w:asciiTheme="minorHAnsi" w:hAnsiTheme="minorHAnsi"/>
          <w:sz w:val="20"/>
          <w:szCs w:val="20"/>
          <w:lang w:val="en-US"/>
        </w:rPr>
        <w:t>Soms</w:t>
      </w:r>
      <w:r w:rsidRPr="0011272D">
        <w:rPr>
          <w:rFonts w:asciiTheme="minorHAnsi" w:hAnsiTheme="minorHAnsi"/>
          <w:sz w:val="20"/>
          <w:szCs w:val="20"/>
          <w:lang w:val="en-US"/>
        </w:rPr>
        <w:t xml:space="preserve"> at interest rates between 6% and 12% per annum, with repayment terms of 8 to 10 years. Additionally, SDB has developed its own green project taxonomy</w:t>
      </w:r>
      <w:r>
        <w:rPr>
          <w:rFonts w:asciiTheme="minorHAnsi" w:hAnsiTheme="minorHAnsi"/>
          <w:sz w:val="20"/>
          <w:szCs w:val="20"/>
          <w:lang w:val="en-US"/>
        </w:rPr>
        <w:t xml:space="preserve">, </w:t>
      </w:r>
      <w:r w:rsidRPr="0011272D">
        <w:rPr>
          <w:rFonts w:asciiTheme="minorHAnsi" w:hAnsiTheme="minorHAnsi"/>
          <w:sz w:val="20"/>
          <w:szCs w:val="20"/>
          <w:lang w:val="en-US"/>
        </w:rPr>
        <w:t xml:space="preserve">to ensure transparency and standardization in green financing, aiding partners </w:t>
      </w:r>
      <w:r w:rsidRPr="00CB7286">
        <w:rPr>
          <w:rFonts w:asciiTheme="minorHAnsi" w:hAnsiTheme="minorHAnsi"/>
          <w:sz w:val="20"/>
          <w:szCs w:val="20"/>
          <w:lang w:val="en-US"/>
        </w:rPr>
        <w:t>and clients in identifying projects that align with environmental sustainability goals.</w:t>
      </w:r>
    </w:p>
    <w:p w14:paraId="7DDC31CF" w14:textId="246365AF" w:rsidR="0042000B" w:rsidRDefault="00CB7286">
      <w:pPr>
        <w:pStyle w:val="ListParagraph"/>
        <w:numPr>
          <w:ilvl w:val="0"/>
          <w:numId w:val="29"/>
        </w:numPr>
        <w:spacing w:before="120" w:after="120" w:line="240" w:lineRule="auto"/>
        <w:ind w:right="-29"/>
        <w:jc w:val="both"/>
        <w:rPr>
          <w:rFonts w:asciiTheme="majorHAnsi" w:hAnsiTheme="majorHAnsi" w:cstheme="majorHAnsi"/>
          <w:sz w:val="20"/>
          <w:szCs w:val="20"/>
        </w:rPr>
      </w:pPr>
      <w:bookmarkStart w:id="3" w:name="OLE_LINK4"/>
      <w:r w:rsidRPr="0042000B">
        <w:rPr>
          <w:rFonts w:asciiTheme="majorHAnsi" w:hAnsiTheme="majorHAnsi" w:cstheme="majorHAnsi"/>
          <w:sz w:val="20"/>
          <w:szCs w:val="20"/>
        </w:rPr>
        <w:t xml:space="preserve">Some banks in Kyrgyzstan are active in developing their green portfolios, implementing the ESG principles and promoting green lending and deposit products. Pioneering banks already claim to offer green credits accounting for around 15% of their total loans, though there are no nationally adopted approaches to categorize “green”. Examples of green financial products include loans for electric vehicles, gas equipment installation, and the adoption of energy-saving technologies in tourism. Additionally, green bonds </w:t>
      </w:r>
      <w:r w:rsidR="0042000B" w:rsidRPr="0042000B">
        <w:rPr>
          <w:rFonts w:asciiTheme="majorHAnsi" w:hAnsiTheme="majorHAnsi" w:cstheme="majorHAnsi"/>
          <w:sz w:val="20"/>
          <w:szCs w:val="20"/>
        </w:rPr>
        <w:t>issues</w:t>
      </w:r>
      <w:r w:rsidRPr="0042000B">
        <w:rPr>
          <w:rFonts w:asciiTheme="majorHAnsi" w:hAnsiTheme="majorHAnsi" w:cstheme="majorHAnsi"/>
          <w:sz w:val="20"/>
          <w:szCs w:val="20"/>
        </w:rPr>
        <w:t xml:space="preserve"> by several commercial banks </w:t>
      </w:r>
      <w:r w:rsidR="00406520" w:rsidRPr="0042000B">
        <w:rPr>
          <w:rFonts w:asciiTheme="majorHAnsi" w:hAnsiTheme="majorHAnsi" w:cstheme="majorHAnsi"/>
          <w:sz w:val="20"/>
          <w:szCs w:val="20"/>
        </w:rPr>
        <w:t>have</w:t>
      </w:r>
      <w:r w:rsidRPr="0042000B">
        <w:rPr>
          <w:rFonts w:asciiTheme="majorHAnsi" w:hAnsiTheme="majorHAnsi" w:cstheme="majorHAnsi"/>
          <w:sz w:val="20"/>
          <w:szCs w:val="20"/>
        </w:rPr>
        <w:t xml:space="preserve"> highlighted further progress in </w:t>
      </w:r>
      <w:r w:rsidRPr="00E22529">
        <w:rPr>
          <w:rFonts w:asciiTheme="majorHAnsi" w:hAnsiTheme="majorHAnsi" w:cstheme="majorHAnsi"/>
          <w:sz w:val="20"/>
          <w:szCs w:val="20"/>
        </w:rPr>
        <w:t>the green finance sector. Funding for gender goals is also being actively promoted. Further, the introduction of ESG</w:t>
      </w:r>
      <w:r w:rsidRPr="0042000B">
        <w:rPr>
          <w:rFonts w:asciiTheme="majorHAnsi" w:hAnsiTheme="majorHAnsi" w:cstheme="majorHAnsi"/>
          <w:sz w:val="20"/>
          <w:szCs w:val="20"/>
        </w:rPr>
        <w:t xml:space="preserve"> principles and reporting on the Kyrgyz Stock Exchange platform marks a new phase in the development of Kyrgyzstan's securities market.</w:t>
      </w:r>
      <w:bookmarkEnd w:id="3"/>
    </w:p>
    <w:p w14:paraId="60394A9E" w14:textId="77777777" w:rsidR="0042000B" w:rsidRDefault="0042000B" w:rsidP="00406520">
      <w:pPr>
        <w:pStyle w:val="ListParagraph"/>
        <w:spacing w:before="120" w:after="120" w:line="240" w:lineRule="auto"/>
        <w:ind w:left="360" w:right="-29"/>
        <w:jc w:val="both"/>
        <w:rPr>
          <w:rFonts w:asciiTheme="majorHAnsi" w:hAnsiTheme="majorHAnsi" w:cstheme="majorHAnsi"/>
          <w:sz w:val="20"/>
          <w:szCs w:val="20"/>
        </w:rPr>
      </w:pPr>
    </w:p>
    <w:p w14:paraId="511282E3" w14:textId="24D2BAAB" w:rsidR="00CB7286" w:rsidRDefault="00CB7286">
      <w:pPr>
        <w:pStyle w:val="ListParagraph"/>
        <w:numPr>
          <w:ilvl w:val="0"/>
          <w:numId w:val="29"/>
        </w:numPr>
        <w:spacing w:before="120" w:after="120" w:line="240" w:lineRule="auto"/>
        <w:ind w:right="-29"/>
        <w:jc w:val="both"/>
        <w:rPr>
          <w:rFonts w:asciiTheme="majorHAnsi" w:hAnsiTheme="majorHAnsi" w:cstheme="majorHAnsi"/>
          <w:sz w:val="20"/>
          <w:szCs w:val="20"/>
        </w:rPr>
      </w:pPr>
      <w:r w:rsidRPr="00C82CB1">
        <w:rPr>
          <w:rFonts w:asciiTheme="majorHAnsi" w:hAnsiTheme="majorHAnsi" w:cstheme="majorHAnsi"/>
          <w:b/>
          <w:bCs/>
          <w:sz w:val="20"/>
          <w:szCs w:val="20"/>
        </w:rPr>
        <w:t>Community Development and Investment Agency (ARIS</w:t>
      </w:r>
      <w:r w:rsidRPr="0042000B">
        <w:rPr>
          <w:rFonts w:asciiTheme="majorHAnsi" w:hAnsiTheme="majorHAnsi" w:cstheme="majorHAnsi"/>
          <w:sz w:val="20"/>
          <w:szCs w:val="20"/>
        </w:rPr>
        <w:t xml:space="preserve">) is the only national institute accredited as Direct Access Entity in GCF, that was completed earlier. However, ARIS being </w:t>
      </w:r>
      <w:r w:rsidR="00406520" w:rsidRPr="0042000B">
        <w:rPr>
          <w:rFonts w:asciiTheme="majorHAnsi" w:hAnsiTheme="majorHAnsi" w:cstheme="majorHAnsi"/>
          <w:sz w:val="20"/>
          <w:szCs w:val="20"/>
        </w:rPr>
        <w:t>a non</w:t>
      </w:r>
      <w:r w:rsidRPr="0042000B">
        <w:rPr>
          <w:rFonts w:asciiTheme="majorHAnsi" w:hAnsiTheme="majorHAnsi" w:cstheme="majorHAnsi"/>
          <w:sz w:val="20"/>
          <w:szCs w:val="20"/>
        </w:rPr>
        <w:t>-profit organization and in fact executing functions of project implementation unit for projects, funded by the public budget (mainly sovereign loans), cannot be considered as a financial institution.</w:t>
      </w:r>
    </w:p>
    <w:p w14:paraId="2CFF8961" w14:textId="77777777" w:rsidR="00C82CB1" w:rsidRPr="00C82CB1" w:rsidRDefault="00C82CB1" w:rsidP="00C82CB1">
      <w:pPr>
        <w:pStyle w:val="ListParagraph"/>
        <w:rPr>
          <w:rFonts w:asciiTheme="majorHAnsi" w:hAnsiTheme="majorHAnsi" w:cstheme="majorHAnsi"/>
          <w:sz w:val="20"/>
          <w:szCs w:val="20"/>
        </w:rPr>
      </w:pPr>
    </w:p>
    <w:p w14:paraId="099B7C63" w14:textId="77777777" w:rsidR="00C82CB1" w:rsidRPr="0042000B" w:rsidRDefault="00C82CB1" w:rsidP="00C82CB1">
      <w:pPr>
        <w:pStyle w:val="ListParagraph"/>
        <w:spacing w:before="120" w:after="120" w:line="240" w:lineRule="auto"/>
        <w:ind w:left="360" w:right="-29"/>
        <w:jc w:val="both"/>
        <w:rPr>
          <w:rFonts w:asciiTheme="majorHAnsi" w:hAnsiTheme="majorHAnsi" w:cstheme="majorHAnsi"/>
          <w:sz w:val="20"/>
          <w:szCs w:val="20"/>
        </w:rPr>
      </w:pPr>
    </w:p>
    <w:p w14:paraId="67912365" w14:textId="4C76B9E6" w:rsidR="00A97B02" w:rsidRDefault="00F97840" w:rsidP="00163FD5">
      <w:pPr>
        <w:pStyle w:val="ListParagraph"/>
        <w:numPr>
          <w:ilvl w:val="1"/>
          <w:numId w:val="3"/>
        </w:numPr>
        <w:tabs>
          <w:tab w:val="left" w:pos="720"/>
          <w:tab w:val="left" w:pos="7200"/>
        </w:tabs>
        <w:spacing w:before="120" w:after="120" w:line="240" w:lineRule="auto"/>
        <w:rPr>
          <w:b/>
          <w:color w:val="276E8B" w:themeColor="accent1" w:themeShade="BF"/>
        </w:rPr>
      </w:pPr>
      <w:r w:rsidRPr="00AF3539">
        <w:rPr>
          <w:b/>
          <w:color w:val="276E8B" w:themeColor="accent1" w:themeShade="BF"/>
        </w:rPr>
        <w:t xml:space="preserve">Gender </w:t>
      </w:r>
      <w:r w:rsidR="00B93D62">
        <w:rPr>
          <w:b/>
          <w:color w:val="276E8B" w:themeColor="accent1" w:themeShade="BF"/>
        </w:rPr>
        <w:t>eq</w:t>
      </w:r>
      <w:r w:rsidR="00F81C10">
        <w:rPr>
          <w:b/>
          <w:color w:val="276E8B" w:themeColor="accent1" w:themeShade="BF"/>
        </w:rPr>
        <w:t xml:space="preserve">uality </w:t>
      </w:r>
      <w:r w:rsidRPr="00AF3539">
        <w:rPr>
          <w:b/>
          <w:color w:val="276E8B" w:themeColor="accent1" w:themeShade="BF"/>
        </w:rPr>
        <w:t>analysis</w:t>
      </w:r>
      <w:r w:rsidR="00EC770D">
        <w:rPr>
          <w:b/>
          <w:color w:val="276E8B" w:themeColor="accent1" w:themeShade="BF"/>
        </w:rPr>
        <w:t xml:space="preserve"> </w:t>
      </w:r>
    </w:p>
    <w:p w14:paraId="0D20FCA4" w14:textId="77777777" w:rsidR="00FC2A71" w:rsidRPr="005D0353" w:rsidRDefault="00FC2A71" w:rsidP="00FC2A71">
      <w:pPr>
        <w:pStyle w:val="ListParagraph"/>
        <w:tabs>
          <w:tab w:val="left" w:pos="720"/>
          <w:tab w:val="left" w:pos="7200"/>
        </w:tabs>
        <w:spacing w:before="120" w:after="120" w:line="240" w:lineRule="auto"/>
        <w:ind w:left="360"/>
        <w:rPr>
          <w:rStyle w:val="DefaultText"/>
          <w:rFonts w:cstheme="minorBidi"/>
          <w:b/>
          <w:color w:val="276E8B" w:themeColor="accent1" w:themeShade="BF"/>
          <w:sz w:val="22"/>
          <w:szCs w:val="22"/>
        </w:rPr>
      </w:pPr>
    </w:p>
    <w:p w14:paraId="338C5A49" w14:textId="3D4977E2" w:rsidR="00E76D00" w:rsidRDefault="005D0353" w:rsidP="00AD111E">
      <w:pPr>
        <w:pStyle w:val="ListParagraph"/>
        <w:numPr>
          <w:ilvl w:val="0"/>
          <w:numId w:val="29"/>
        </w:numPr>
        <w:spacing w:before="120" w:after="120" w:line="240" w:lineRule="auto"/>
        <w:jc w:val="both"/>
        <w:rPr>
          <w:rStyle w:val="normaltextrun"/>
          <w:rFonts w:ascii="Calibri" w:hAnsi="Calibri" w:cs="Calibri"/>
        </w:rPr>
      </w:pPr>
      <w:r w:rsidRPr="00AD111E">
        <w:rPr>
          <w:rFonts w:asciiTheme="majorHAnsi" w:hAnsiTheme="majorHAnsi" w:cstheme="majorHAnsi"/>
          <w:sz w:val="20"/>
          <w:szCs w:val="20"/>
        </w:rPr>
        <w:t>Kyrgyzstan</w:t>
      </w:r>
      <w:r w:rsidR="00A97B02" w:rsidRPr="00AD111E">
        <w:rPr>
          <w:rFonts w:asciiTheme="majorHAnsi" w:hAnsiTheme="majorHAnsi" w:cstheme="majorHAnsi"/>
          <w:sz w:val="20"/>
          <w:szCs w:val="20"/>
        </w:rPr>
        <w:t xml:space="preserve"> has ratified several key international human rights and gender equality conventions and occupies a leading position in the CIS region in developing national legal framework on women's rights in compliance with international standards.</w:t>
      </w:r>
      <w:r w:rsidRPr="00AD111E">
        <w:rPr>
          <w:rFonts w:asciiTheme="majorHAnsi" w:hAnsiTheme="majorHAnsi" w:cstheme="majorHAnsi"/>
          <w:sz w:val="20"/>
          <w:szCs w:val="20"/>
        </w:rPr>
        <w:t xml:space="preserve"> </w:t>
      </w:r>
      <w:r w:rsidRPr="00AD111E">
        <w:rPr>
          <w:rStyle w:val="normaltextrun"/>
          <w:rFonts w:asciiTheme="majorHAnsi" w:hAnsiTheme="majorHAnsi" w:cstheme="majorHAnsi"/>
          <w:sz w:val="20"/>
          <w:szCs w:val="20"/>
        </w:rPr>
        <w:t>These include the</w:t>
      </w:r>
      <w:r w:rsidRPr="00AD111E">
        <w:rPr>
          <w:rFonts w:asciiTheme="majorHAnsi" w:hAnsiTheme="majorHAnsi" w:cstheme="majorHAnsi"/>
          <w:sz w:val="20"/>
          <w:szCs w:val="20"/>
        </w:rPr>
        <w:t xml:space="preserve"> </w:t>
      </w:r>
      <w:r w:rsidRPr="00AD111E">
        <w:rPr>
          <w:rStyle w:val="normaltextrun"/>
          <w:rFonts w:asciiTheme="majorHAnsi" w:hAnsiTheme="majorHAnsi" w:cstheme="majorHAnsi"/>
          <w:sz w:val="20"/>
          <w:szCs w:val="20"/>
        </w:rPr>
        <w:t>Convention on the Elimination of All Forms of Discrimination against Women (CEDAW), and the Optional Protocol of CEDAW (OP-CEDAW); the Law “On State Guarantees of Equal Rights and Equal Opportunities for Men and Women”</w:t>
      </w:r>
      <w:r w:rsidR="00AA3DE6" w:rsidRPr="00AD111E">
        <w:rPr>
          <w:rStyle w:val="normaltextrun"/>
          <w:rFonts w:asciiTheme="majorHAnsi" w:hAnsiTheme="majorHAnsi" w:cstheme="majorHAnsi"/>
          <w:sz w:val="20"/>
          <w:szCs w:val="20"/>
        </w:rPr>
        <w:t xml:space="preserve"> (2008)</w:t>
      </w:r>
      <w:r>
        <w:rPr>
          <w:rStyle w:val="FootnoteReference"/>
          <w:rFonts w:asciiTheme="majorHAnsi" w:hAnsiTheme="majorHAnsi" w:cstheme="majorHAnsi"/>
          <w:sz w:val="20"/>
          <w:szCs w:val="20"/>
        </w:rPr>
        <w:footnoteReference w:id="75"/>
      </w:r>
      <w:r w:rsidRPr="00AD111E">
        <w:rPr>
          <w:rStyle w:val="normaltextrun"/>
          <w:rFonts w:asciiTheme="majorHAnsi" w:hAnsiTheme="majorHAnsi" w:cstheme="majorHAnsi"/>
          <w:sz w:val="20"/>
          <w:szCs w:val="20"/>
        </w:rPr>
        <w:t xml:space="preserve">. </w:t>
      </w:r>
      <w:r w:rsidR="00E63D98" w:rsidRPr="00AD111E">
        <w:rPr>
          <w:rStyle w:val="normaltextrun"/>
          <w:rFonts w:asciiTheme="majorHAnsi" w:hAnsiTheme="majorHAnsi" w:cstheme="majorHAnsi"/>
          <w:sz w:val="20"/>
          <w:szCs w:val="20"/>
        </w:rPr>
        <w:t xml:space="preserve">The latter is a comprehensive piece of legislation aimed at ensuring gender equality that prohibits practices based on traditional or customary laws contradicting its principles. </w:t>
      </w:r>
      <w:r w:rsidR="00E63D98" w:rsidRPr="00AD111E">
        <w:rPr>
          <w:rStyle w:val="normaltextrun"/>
          <w:rFonts w:asciiTheme="majorHAnsi" w:hAnsiTheme="majorHAnsi" w:cstheme="majorHAnsi"/>
          <w:sz w:val="20"/>
          <w:szCs w:val="20"/>
        </w:rPr>
        <w:lastRenderedPageBreak/>
        <w:t>The law also mandates state bodies and local authorities to submit annual reports for evaluating progress, systematically collecting statistical data, and establishing enforcement processes to review alleged breaches.</w:t>
      </w:r>
      <w:r w:rsidR="00EF48A5" w:rsidRPr="00AD111E">
        <w:rPr>
          <w:rStyle w:val="normaltextrun"/>
          <w:rFonts w:asciiTheme="majorHAnsi" w:hAnsiTheme="majorHAnsi" w:cstheme="majorHAnsi"/>
          <w:sz w:val="20"/>
          <w:szCs w:val="20"/>
        </w:rPr>
        <w:t xml:space="preserve"> </w:t>
      </w:r>
      <w:r w:rsidRPr="00AD111E">
        <w:rPr>
          <w:rStyle w:val="normaltextrun"/>
          <w:rFonts w:asciiTheme="majorHAnsi" w:hAnsiTheme="majorHAnsi" w:cstheme="majorHAnsi"/>
          <w:sz w:val="20"/>
          <w:szCs w:val="20"/>
        </w:rPr>
        <w:t xml:space="preserve">In 2012, Kyrgyzstan adopted its first long-term </w:t>
      </w:r>
      <w:r w:rsidRPr="003B3131">
        <w:rPr>
          <w:rStyle w:val="normaltextrun"/>
          <w:rFonts w:asciiTheme="majorHAnsi" w:hAnsiTheme="majorHAnsi" w:cstheme="majorHAnsi"/>
          <w:b/>
          <w:bCs/>
          <w:sz w:val="20"/>
          <w:szCs w:val="20"/>
        </w:rPr>
        <w:t>National Gender Strategy on Achieving Gender Equality by 2020</w:t>
      </w:r>
      <w:r w:rsidRPr="00AD111E">
        <w:rPr>
          <w:rStyle w:val="normaltextrun"/>
          <w:rFonts w:asciiTheme="majorHAnsi" w:hAnsiTheme="majorHAnsi" w:cstheme="majorHAnsi"/>
          <w:sz w:val="20"/>
          <w:szCs w:val="20"/>
        </w:rPr>
        <w:t xml:space="preserve"> in compliance with CEDAW, and now there is the new phase of the national gender strategy in place till 2030</w:t>
      </w:r>
      <w:r w:rsidR="00CD66A7" w:rsidRPr="00AD111E">
        <w:rPr>
          <w:rStyle w:val="normaltextrun"/>
          <w:rFonts w:asciiTheme="majorHAnsi" w:hAnsiTheme="majorHAnsi" w:cstheme="majorHAnsi"/>
          <w:sz w:val="20"/>
          <w:szCs w:val="20"/>
        </w:rPr>
        <w:t xml:space="preserve"> with the </w:t>
      </w:r>
      <w:r w:rsidR="00CD66A7" w:rsidRPr="003B3131">
        <w:rPr>
          <w:rStyle w:val="normaltextrun"/>
          <w:rFonts w:asciiTheme="majorHAnsi" w:hAnsiTheme="majorHAnsi" w:cstheme="majorHAnsi"/>
          <w:b/>
          <w:bCs/>
          <w:sz w:val="20"/>
          <w:szCs w:val="20"/>
        </w:rPr>
        <w:t>National Action Plan for 2022-2024</w:t>
      </w:r>
      <w:r w:rsidR="00E76D00">
        <w:rPr>
          <w:rStyle w:val="FootnoteReference"/>
          <w:rFonts w:asciiTheme="majorHAnsi" w:hAnsiTheme="majorHAnsi" w:cstheme="majorHAnsi"/>
          <w:sz w:val="20"/>
          <w:szCs w:val="20"/>
        </w:rPr>
        <w:footnoteReference w:id="76"/>
      </w:r>
      <w:r w:rsidRPr="00AD111E">
        <w:rPr>
          <w:rStyle w:val="normaltextrun"/>
          <w:rFonts w:asciiTheme="majorHAnsi" w:hAnsiTheme="majorHAnsi" w:cstheme="majorHAnsi"/>
          <w:sz w:val="20"/>
          <w:szCs w:val="20"/>
        </w:rPr>
        <w:t>.</w:t>
      </w:r>
      <w:r w:rsidRPr="00AD111E">
        <w:rPr>
          <w:rStyle w:val="normaltextrun"/>
          <w:rFonts w:ascii="Calibri" w:hAnsi="Calibri" w:cs="Calibri"/>
        </w:rPr>
        <w:t xml:space="preserve"> </w:t>
      </w:r>
    </w:p>
    <w:p w14:paraId="49BC290A" w14:textId="77777777" w:rsidR="00AD111E" w:rsidRPr="00AD111E" w:rsidRDefault="00AD111E" w:rsidP="00AD111E">
      <w:pPr>
        <w:pStyle w:val="ListParagraph"/>
        <w:spacing w:before="120" w:after="120" w:line="240" w:lineRule="auto"/>
        <w:ind w:left="360"/>
        <w:jc w:val="both"/>
        <w:rPr>
          <w:rStyle w:val="normaltextrun"/>
          <w:rFonts w:ascii="Calibri" w:hAnsi="Calibri" w:cs="Calibri"/>
        </w:rPr>
      </w:pPr>
    </w:p>
    <w:p w14:paraId="58B6F4A5" w14:textId="0701B896" w:rsidR="00A97B02" w:rsidRDefault="005D0353" w:rsidP="00AD111E">
      <w:pPr>
        <w:pStyle w:val="ListParagraph"/>
        <w:numPr>
          <w:ilvl w:val="0"/>
          <w:numId w:val="29"/>
        </w:numPr>
        <w:spacing w:before="120" w:after="120" w:line="240" w:lineRule="auto"/>
        <w:jc w:val="both"/>
        <w:rPr>
          <w:rStyle w:val="normaltextrun"/>
          <w:rFonts w:asciiTheme="majorHAnsi" w:hAnsiTheme="majorHAnsi" w:cstheme="majorHAnsi"/>
          <w:sz w:val="20"/>
          <w:szCs w:val="20"/>
        </w:rPr>
      </w:pPr>
      <w:r w:rsidRPr="00AD111E">
        <w:rPr>
          <w:rStyle w:val="normaltextrun"/>
          <w:rFonts w:asciiTheme="majorHAnsi" w:hAnsiTheme="majorHAnsi" w:cstheme="majorHAnsi"/>
          <w:sz w:val="20"/>
          <w:szCs w:val="20"/>
        </w:rPr>
        <w:t xml:space="preserve">However, </w:t>
      </w:r>
      <w:r w:rsidR="00C82CB1" w:rsidRPr="00AD111E">
        <w:rPr>
          <w:rStyle w:val="normaltextrun"/>
          <w:rFonts w:asciiTheme="majorHAnsi" w:hAnsiTheme="majorHAnsi" w:cstheme="majorHAnsi"/>
          <w:sz w:val="20"/>
          <w:szCs w:val="20"/>
        </w:rPr>
        <w:t>despite</w:t>
      </w:r>
      <w:r w:rsidRPr="00AD111E">
        <w:rPr>
          <w:rStyle w:val="normaltextrun"/>
          <w:rFonts w:asciiTheme="majorHAnsi" w:hAnsiTheme="majorHAnsi" w:cstheme="majorHAnsi"/>
          <w:sz w:val="20"/>
          <w:szCs w:val="20"/>
        </w:rPr>
        <w:t xml:space="preserve"> progressive national legislation and active women’s </w:t>
      </w:r>
      <w:r w:rsidR="002407B1" w:rsidRPr="00AD111E">
        <w:rPr>
          <w:rStyle w:val="normaltextrun"/>
          <w:rFonts w:asciiTheme="majorHAnsi" w:hAnsiTheme="majorHAnsi" w:cstheme="majorHAnsi"/>
          <w:sz w:val="20"/>
          <w:szCs w:val="20"/>
        </w:rPr>
        <w:t>civil society organizations</w:t>
      </w:r>
      <w:r w:rsidRPr="00AD111E">
        <w:rPr>
          <w:rStyle w:val="normaltextrun"/>
          <w:rFonts w:asciiTheme="majorHAnsi" w:hAnsiTheme="majorHAnsi" w:cstheme="majorHAnsi"/>
          <w:sz w:val="20"/>
          <w:szCs w:val="20"/>
        </w:rPr>
        <w:t xml:space="preserve">, there are problems with law enforcement, budgeting of gender strategic documents and monitoring of implementation of legislation. According to </w:t>
      </w:r>
      <w:r w:rsidR="009F2D07" w:rsidRPr="00AD111E">
        <w:rPr>
          <w:rStyle w:val="normaltextrun"/>
          <w:rFonts w:asciiTheme="majorHAnsi" w:hAnsiTheme="majorHAnsi" w:cstheme="majorHAnsi"/>
          <w:sz w:val="20"/>
          <w:szCs w:val="20"/>
        </w:rPr>
        <w:t>numerous</w:t>
      </w:r>
      <w:r w:rsidRPr="00AD111E">
        <w:rPr>
          <w:rStyle w:val="normaltextrun"/>
          <w:rFonts w:asciiTheme="majorHAnsi" w:hAnsiTheme="majorHAnsi" w:cstheme="majorHAnsi"/>
          <w:sz w:val="20"/>
          <w:szCs w:val="20"/>
        </w:rPr>
        <w:t xml:space="preserve"> analyses, such as Country Gender Assessments (ADB, W</w:t>
      </w:r>
      <w:r w:rsidR="00187E14" w:rsidRPr="00AD111E">
        <w:rPr>
          <w:rStyle w:val="normaltextrun"/>
          <w:rFonts w:asciiTheme="majorHAnsi" w:hAnsiTheme="majorHAnsi" w:cstheme="majorHAnsi"/>
          <w:sz w:val="20"/>
          <w:szCs w:val="20"/>
        </w:rPr>
        <w:t xml:space="preserve">orld </w:t>
      </w:r>
      <w:r w:rsidRPr="00AD111E">
        <w:rPr>
          <w:rStyle w:val="normaltextrun"/>
          <w:rFonts w:asciiTheme="majorHAnsi" w:hAnsiTheme="majorHAnsi" w:cstheme="majorHAnsi"/>
          <w:sz w:val="20"/>
          <w:szCs w:val="20"/>
        </w:rPr>
        <w:t>B</w:t>
      </w:r>
      <w:r w:rsidR="00187E14" w:rsidRPr="00AD111E">
        <w:rPr>
          <w:rStyle w:val="normaltextrun"/>
          <w:rFonts w:asciiTheme="majorHAnsi" w:hAnsiTheme="majorHAnsi" w:cstheme="majorHAnsi"/>
          <w:sz w:val="20"/>
          <w:szCs w:val="20"/>
        </w:rPr>
        <w:t>ank</w:t>
      </w:r>
      <w:r w:rsidRPr="00AD111E">
        <w:rPr>
          <w:rStyle w:val="normaltextrun"/>
          <w:rFonts w:asciiTheme="majorHAnsi" w:hAnsiTheme="majorHAnsi" w:cstheme="majorHAnsi"/>
          <w:sz w:val="20"/>
          <w:szCs w:val="20"/>
        </w:rPr>
        <w:t>, DFID</w:t>
      </w:r>
      <w:r w:rsidR="00187E14" w:rsidRPr="00AD111E">
        <w:rPr>
          <w:rStyle w:val="normaltextrun"/>
          <w:rFonts w:asciiTheme="majorHAnsi" w:hAnsiTheme="majorHAnsi" w:cstheme="majorHAnsi"/>
          <w:sz w:val="20"/>
          <w:szCs w:val="20"/>
        </w:rPr>
        <w:t xml:space="preserve"> UK Government</w:t>
      </w:r>
      <w:r w:rsidRPr="00AD111E">
        <w:rPr>
          <w:rStyle w:val="normaltextrun"/>
          <w:rFonts w:asciiTheme="majorHAnsi" w:hAnsiTheme="majorHAnsi" w:cstheme="majorHAnsi"/>
          <w:sz w:val="20"/>
          <w:szCs w:val="20"/>
        </w:rPr>
        <w:t>), periodic poverty assessments (W</w:t>
      </w:r>
      <w:r w:rsidR="00187E14" w:rsidRPr="00AD111E">
        <w:rPr>
          <w:rStyle w:val="normaltextrun"/>
          <w:rFonts w:asciiTheme="majorHAnsi" w:hAnsiTheme="majorHAnsi" w:cstheme="majorHAnsi"/>
          <w:sz w:val="20"/>
          <w:szCs w:val="20"/>
        </w:rPr>
        <w:t>orld Bank</w:t>
      </w:r>
      <w:r w:rsidRPr="00AD111E">
        <w:rPr>
          <w:rStyle w:val="normaltextrun"/>
          <w:rFonts w:asciiTheme="majorHAnsi" w:hAnsiTheme="majorHAnsi" w:cstheme="majorHAnsi"/>
          <w:sz w:val="20"/>
          <w:szCs w:val="20"/>
        </w:rPr>
        <w:t xml:space="preserve">), and National Voluntary Report, women constitute one of the most vulnerable groups in Kyrgyzstan due to unfair distribution of resources, economic crisis and rising unemployment, gender segregation in the labor market, weak system of social protection and public service delivery and increasing influence of patriarchal traditions and religion in social and family relationships. Kyrgyzstan has achieved near gender parity in education enrolment and literacy rates. </w:t>
      </w:r>
      <w:r w:rsidR="00E76D00" w:rsidRPr="00AD111E">
        <w:rPr>
          <w:rStyle w:val="normaltextrun"/>
          <w:rFonts w:asciiTheme="majorHAnsi" w:hAnsiTheme="majorHAnsi" w:cstheme="majorHAnsi"/>
          <w:sz w:val="20"/>
          <w:szCs w:val="20"/>
        </w:rPr>
        <w:t>However, it fares poorly in the key global indicators of women’s labor force participation, women’s leadership, and maternal mortality ratio</w:t>
      </w:r>
      <w:r w:rsidR="00E76D00">
        <w:rPr>
          <w:rStyle w:val="FootnoteReference"/>
          <w:rFonts w:asciiTheme="majorHAnsi" w:hAnsiTheme="majorHAnsi" w:cstheme="majorHAnsi"/>
          <w:sz w:val="20"/>
          <w:szCs w:val="20"/>
        </w:rPr>
        <w:footnoteReference w:id="77"/>
      </w:r>
      <w:r w:rsidR="00E76D00" w:rsidRPr="00AD111E">
        <w:rPr>
          <w:rStyle w:val="normaltextrun"/>
          <w:rFonts w:asciiTheme="majorHAnsi" w:hAnsiTheme="majorHAnsi" w:cstheme="majorHAnsi"/>
          <w:sz w:val="20"/>
          <w:szCs w:val="20"/>
        </w:rPr>
        <w:t>.</w:t>
      </w:r>
      <w:r w:rsidR="00770CD3" w:rsidRPr="00AD111E">
        <w:rPr>
          <w:rStyle w:val="normaltextrun"/>
          <w:rFonts w:asciiTheme="majorHAnsi" w:hAnsiTheme="majorHAnsi" w:cstheme="majorHAnsi"/>
          <w:sz w:val="20"/>
          <w:szCs w:val="20"/>
        </w:rPr>
        <w:t xml:space="preserve"> Women’s economic participation remains low at </w:t>
      </w:r>
      <w:r w:rsidR="003D7E31" w:rsidRPr="00AD111E">
        <w:rPr>
          <w:rStyle w:val="normaltextrun"/>
          <w:rFonts w:asciiTheme="majorHAnsi" w:hAnsiTheme="majorHAnsi" w:cstheme="majorHAnsi"/>
          <w:sz w:val="20"/>
          <w:szCs w:val="20"/>
        </w:rPr>
        <w:t>53</w:t>
      </w:r>
      <w:r w:rsidR="00770CD3" w:rsidRPr="00AD111E">
        <w:rPr>
          <w:rStyle w:val="normaltextrun"/>
          <w:rFonts w:asciiTheme="majorHAnsi" w:hAnsiTheme="majorHAnsi" w:cstheme="majorHAnsi"/>
          <w:sz w:val="20"/>
          <w:szCs w:val="20"/>
        </w:rPr>
        <w:t>% compared to 7</w:t>
      </w:r>
      <w:r w:rsidR="003D7E31" w:rsidRPr="00AD111E">
        <w:rPr>
          <w:rStyle w:val="normaltextrun"/>
          <w:rFonts w:asciiTheme="majorHAnsi" w:hAnsiTheme="majorHAnsi" w:cstheme="majorHAnsi"/>
          <w:sz w:val="20"/>
          <w:szCs w:val="20"/>
        </w:rPr>
        <w:t>8</w:t>
      </w:r>
      <w:r w:rsidR="00770CD3" w:rsidRPr="00AD111E">
        <w:rPr>
          <w:rStyle w:val="normaltextrun"/>
          <w:rFonts w:asciiTheme="majorHAnsi" w:hAnsiTheme="majorHAnsi" w:cstheme="majorHAnsi"/>
          <w:sz w:val="20"/>
          <w:szCs w:val="20"/>
        </w:rPr>
        <w:t>% for men</w:t>
      </w:r>
      <w:r w:rsidR="00870844" w:rsidRPr="00AD111E">
        <w:rPr>
          <w:rStyle w:val="normaltextrun"/>
          <w:rFonts w:asciiTheme="majorHAnsi" w:hAnsiTheme="majorHAnsi" w:cstheme="majorHAnsi"/>
          <w:sz w:val="20"/>
          <w:szCs w:val="20"/>
        </w:rPr>
        <w:t>, with persisting pay gap of over 25%</w:t>
      </w:r>
      <w:r w:rsidR="00770CD3" w:rsidRPr="00AD111E">
        <w:rPr>
          <w:rStyle w:val="normaltextrun"/>
          <w:rFonts w:asciiTheme="majorHAnsi" w:hAnsiTheme="majorHAnsi" w:cstheme="majorHAnsi"/>
          <w:sz w:val="20"/>
          <w:szCs w:val="20"/>
        </w:rPr>
        <w:t xml:space="preserve">. Women’s political empowerment is also low with only </w:t>
      </w:r>
      <w:r w:rsidR="003D7E31" w:rsidRPr="00AD111E">
        <w:rPr>
          <w:rStyle w:val="normaltextrun"/>
          <w:rFonts w:asciiTheme="majorHAnsi" w:hAnsiTheme="majorHAnsi" w:cstheme="majorHAnsi"/>
          <w:sz w:val="20"/>
          <w:szCs w:val="20"/>
        </w:rPr>
        <w:t>one-fifth</w:t>
      </w:r>
      <w:r w:rsidR="00770CD3" w:rsidRPr="00AD111E">
        <w:rPr>
          <w:rStyle w:val="normaltextrun"/>
          <w:rFonts w:asciiTheme="majorHAnsi" w:hAnsiTheme="majorHAnsi" w:cstheme="majorHAnsi"/>
          <w:sz w:val="20"/>
          <w:szCs w:val="20"/>
        </w:rPr>
        <w:t xml:space="preserve"> of seats in the Parliament in 202</w:t>
      </w:r>
      <w:r w:rsidR="003D7E31" w:rsidRPr="00AD111E">
        <w:rPr>
          <w:rStyle w:val="normaltextrun"/>
          <w:rFonts w:asciiTheme="majorHAnsi" w:hAnsiTheme="majorHAnsi" w:cstheme="majorHAnsi"/>
          <w:sz w:val="20"/>
          <w:szCs w:val="20"/>
        </w:rPr>
        <w:t>2</w:t>
      </w:r>
      <w:r w:rsidR="00770CD3" w:rsidRPr="00AD111E">
        <w:rPr>
          <w:rStyle w:val="normaltextrun"/>
          <w:rFonts w:asciiTheme="majorHAnsi" w:hAnsiTheme="majorHAnsi" w:cstheme="majorHAnsi"/>
          <w:sz w:val="20"/>
          <w:szCs w:val="20"/>
        </w:rPr>
        <w:t xml:space="preserve">. </w:t>
      </w:r>
      <w:r w:rsidR="003D7E31" w:rsidRPr="00AD111E">
        <w:rPr>
          <w:rStyle w:val="normaltextrun"/>
          <w:rFonts w:asciiTheme="majorHAnsi" w:hAnsiTheme="majorHAnsi" w:cstheme="majorHAnsi"/>
          <w:sz w:val="20"/>
          <w:szCs w:val="20"/>
        </w:rPr>
        <w:t xml:space="preserve">Gender bias is often an obstacle to women </w:t>
      </w:r>
      <w:r w:rsidR="00E461D4" w:rsidRPr="00AD111E">
        <w:rPr>
          <w:rStyle w:val="normaltextrun"/>
          <w:rFonts w:asciiTheme="majorHAnsi" w:hAnsiTheme="majorHAnsi" w:cstheme="majorHAnsi"/>
          <w:sz w:val="20"/>
          <w:szCs w:val="20"/>
        </w:rPr>
        <w:t>realizing</w:t>
      </w:r>
      <w:r w:rsidR="003D7E31" w:rsidRPr="00AD111E">
        <w:rPr>
          <w:rStyle w:val="normaltextrun"/>
          <w:rFonts w:asciiTheme="majorHAnsi" w:hAnsiTheme="majorHAnsi" w:cstheme="majorHAnsi"/>
          <w:sz w:val="20"/>
          <w:szCs w:val="20"/>
        </w:rPr>
        <w:t xml:space="preserve"> their potential. It is estimated that over 98 per cent of Kyrgyzstanis have at least one gender bias related to political, educational, economic aspects or physical integrity</w:t>
      </w:r>
      <w:r w:rsidR="003D7E31">
        <w:rPr>
          <w:rStyle w:val="FootnoteReference"/>
          <w:rFonts w:asciiTheme="majorHAnsi" w:hAnsiTheme="majorHAnsi" w:cstheme="majorHAnsi"/>
          <w:sz w:val="20"/>
          <w:szCs w:val="20"/>
        </w:rPr>
        <w:footnoteReference w:id="78"/>
      </w:r>
      <w:r w:rsidR="003D7E31" w:rsidRPr="00AD111E">
        <w:rPr>
          <w:rStyle w:val="normaltextrun"/>
          <w:rFonts w:asciiTheme="majorHAnsi" w:hAnsiTheme="majorHAnsi" w:cstheme="majorHAnsi"/>
          <w:sz w:val="20"/>
          <w:szCs w:val="20"/>
        </w:rPr>
        <w:t xml:space="preserve">. </w:t>
      </w:r>
      <w:r w:rsidR="00770CD3" w:rsidRPr="00AD111E">
        <w:rPr>
          <w:rStyle w:val="normaltextrun"/>
          <w:rFonts w:asciiTheme="majorHAnsi" w:hAnsiTheme="majorHAnsi" w:cstheme="majorHAnsi"/>
          <w:sz w:val="20"/>
          <w:szCs w:val="20"/>
        </w:rPr>
        <w:t xml:space="preserve">The maternal mortality ratio is extremely high at </w:t>
      </w:r>
      <w:r w:rsidR="003D7E31" w:rsidRPr="00AD111E">
        <w:rPr>
          <w:rStyle w:val="normaltextrun"/>
          <w:rFonts w:asciiTheme="majorHAnsi" w:hAnsiTheme="majorHAnsi" w:cstheme="majorHAnsi"/>
          <w:sz w:val="20"/>
          <w:szCs w:val="20"/>
        </w:rPr>
        <w:t>50</w:t>
      </w:r>
      <w:r w:rsidR="00770CD3" w:rsidRPr="00AD111E">
        <w:rPr>
          <w:rStyle w:val="normaltextrun"/>
          <w:rFonts w:asciiTheme="majorHAnsi" w:hAnsiTheme="majorHAnsi" w:cstheme="majorHAnsi"/>
          <w:sz w:val="20"/>
          <w:szCs w:val="20"/>
        </w:rPr>
        <w:t xml:space="preserve"> deaths per 100,000 live births. These persistent areas of gender inequality resulted in a ranking of 8</w:t>
      </w:r>
      <w:r w:rsidR="003D7E31" w:rsidRPr="00AD111E">
        <w:rPr>
          <w:rStyle w:val="normaltextrun"/>
          <w:rFonts w:asciiTheme="majorHAnsi" w:hAnsiTheme="majorHAnsi" w:cstheme="majorHAnsi"/>
          <w:sz w:val="20"/>
          <w:szCs w:val="20"/>
        </w:rPr>
        <w:t>1</w:t>
      </w:r>
      <w:r w:rsidR="00770CD3" w:rsidRPr="00AD111E">
        <w:rPr>
          <w:rStyle w:val="normaltextrun"/>
          <w:rFonts w:asciiTheme="majorHAnsi" w:hAnsiTheme="majorHAnsi" w:cstheme="majorHAnsi"/>
          <w:sz w:val="20"/>
          <w:szCs w:val="20"/>
        </w:rPr>
        <w:t xml:space="preserve"> in a total of 189 countries in the 2021 gender inequality index</w:t>
      </w:r>
      <w:r w:rsidR="00770CD3">
        <w:rPr>
          <w:rStyle w:val="FootnoteReference"/>
          <w:rFonts w:asciiTheme="majorHAnsi" w:hAnsiTheme="majorHAnsi" w:cstheme="majorHAnsi"/>
          <w:sz w:val="20"/>
          <w:szCs w:val="20"/>
        </w:rPr>
        <w:footnoteReference w:id="79"/>
      </w:r>
      <w:r w:rsidR="00770CD3" w:rsidRPr="00AD111E">
        <w:rPr>
          <w:rStyle w:val="normaltextrun"/>
          <w:rFonts w:asciiTheme="majorHAnsi" w:hAnsiTheme="majorHAnsi" w:cstheme="majorHAnsi"/>
          <w:sz w:val="20"/>
          <w:szCs w:val="20"/>
        </w:rPr>
        <w:t>.</w:t>
      </w:r>
      <w:r w:rsidR="00A87F10" w:rsidRPr="00AD111E">
        <w:rPr>
          <w:rStyle w:val="normaltextrun"/>
          <w:rFonts w:asciiTheme="majorHAnsi" w:hAnsiTheme="majorHAnsi" w:cstheme="majorHAnsi"/>
          <w:sz w:val="20"/>
          <w:szCs w:val="20"/>
        </w:rPr>
        <w:t xml:space="preserve"> </w:t>
      </w:r>
    </w:p>
    <w:p w14:paraId="5991243B" w14:textId="77777777" w:rsidR="00AD111E" w:rsidRPr="00AD111E" w:rsidRDefault="00AD111E" w:rsidP="00AD111E">
      <w:pPr>
        <w:pStyle w:val="ListParagraph"/>
        <w:spacing w:before="120" w:after="120" w:line="240" w:lineRule="auto"/>
        <w:ind w:left="360"/>
        <w:jc w:val="both"/>
        <w:rPr>
          <w:rStyle w:val="DefaultText"/>
          <w:rFonts w:asciiTheme="majorHAnsi" w:hAnsiTheme="majorHAnsi" w:cstheme="majorHAnsi"/>
          <w:color w:val="auto"/>
        </w:rPr>
      </w:pPr>
    </w:p>
    <w:p w14:paraId="759B316A" w14:textId="77777777" w:rsidR="00AD111E" w:rsidRDefault="002407B1">
      <w:pPr>
        <w:pStyle w:val="ListParagraph"/>
        <w:numPr>
          <w:ilvl w:val="0"/>
          <w:numId w:val="29"/>
        </w:numPr>
        <w:jc w:val="both"/>
        <w:rPr>
          <w:sz w:val="20"/>
          <w:szCs w:val="20"/>
        </w:rPr>
      </w:pPr>
      <w:r w:rsidRPr="00AD111E">
        <w:rPr>
          <w:sz w:val="20"/>
          <w:szCs w:val="20"/>
        </w:rPr>
        <w:t>Key factors contributing to the differences in vulnerability to climate change risks between women and men include gender-based disparities in time use</w:t>
      </w:r>
      <w:r w:rsidR="00E11217" w:rsidRPr="00AD111E">
        <w:rPr>
          <w:sz w:val="20"/>
          <w:szCs w:val="20"/>
        </w:rPr>
        <w:t xml:space="preserve"> and </w:t>
      </w:r>
      <w:r w:rsidR="00DC7F7C" w:rsidRPr="00AD111E">
        <w:rPr>
          <w:sz w:val="20"/>
          <w:szCs w:val="20"/>
        </w:rPr>
        <w:t>households’</w:t>
      </w:r>
      <w:r w:rsidR="00E11217" w:rsidRPr="00AD111E">
        <w:rPr>
          <w:sz w:val="20"/>
          <w:szCs w:val="20"/>
        </w:rPr>
        <w:t xml:space="preserve"> chores distribution</w:t>
      </w:r>
      <w:r w:rsidRPr="00AD111E">
        <w:rPr>
          <w:sz w:val="20"/>
          <w:szCs w:val="20"/>
        </w:rPr>
        <w:t xml:space="preserve">, access to assets and credit, and unequal treatment by formal institutions, which can limit women's opportunities. </w:t>
      </w:r>
      <w:r w:rsidR="003E0439" w:rsidRPr="00AD111E">
        <w:rPr>
          <w:sz w:val="20"/>
          <w:szCs w:val="20"/>
        </w:rPr>
        <w:t>Water shortages may restrict women’s own personal use, which can lead to psychological and physical discomfort given women’s special needs</w:t>
      </w:r>
      <w:r w:rsidR="003E0439">
        <w:rPr>
          <w:rStyle w:val="FootnoteReference"/>
          <w:sz w:val="20"/>
          <w:szCs w:val="20"/>
        </w:rPr>
        <w:footnoteReference w:id="80"/>
      </w:r>
      <w:r w:rsidR="003E0439" w:rsidRPr="00AD111E">
        <w:rPr>
          <w:sz w:val="20"/>
          <w:szCs w:val="20"/>
        </w:rPr>
        <w:t xml:space="preserve">. </w:t>
      </w:r>
      <w:r w:rsidRPr="00AD111E">
        <w:rPr>
          <w:sz w:val="20"/>
          <w:szCs w:val="20"/>
        </w:rPr>
        <w:t>Additionally, women often have limited access to policy discussions and decision-making processes, compounded by a lack of sex-disaggregated data for effective policy development</w:t>
      </w:r>
      <w:r w:rsidR="00874924">
        <w:rPr>
          <w:rStyle w:val="FootnoteReference"/>
          <w:sz w:val="20"/>
          <w:szCs w:val="20"/>
        </w:rPr>
        <w:footnoteReference w:id="81"/>
      </w:r>
      <w:r w:rsidRPr="00AD111E">
        <w:rPr>
          <w:sz w:val="20"/>
          <w:szCs w:val="20"/>
        </w:rPr>
        <w:t>.</w:t>
      </w:r>
      <w:r w:rsidR="0088535C" w:rsidRPr="00AD111E">
        <w:rPr>
          <w:sz w:val="20"/>
          <w:szCs w:val="20"/>
        </w:rPr>
        <w:t xml:space="preserve"> Evidence collected by UNDP also shows that male farmers have greater access to irrigation water during drought periods</w:t>
      </w:r>
      <w:r w:rsidR="008F097A">
        <w:rPr>
          <w:rStyle w:val="FootnoteReference"/>
          <w:sz w:val="20"/>
          <w:szCs w:val="20"/>
        </w:rPr>
        <w:footnoteReference w:id="82"/>
      </w:r>
      <w:r w:rsidR="003D191C" w:rsidRPr="00AD111E">
        <w:rPr>
          <w:sz w:val="20"/>
          <w:szCs w:val="20"/>
        </w:rPr>
        <w:t>. Even though women are often primary users of water, their representation in relevant decision-making bodies is generally low.</w:t>
      </w:r>
    </w:p>
    <w:p w14:paraId="5DC39B07" w14:textId="77777777" w:rsidR="00AD111E" w:rsidRPr="00AD111E" w:rsidRDefault="00AD111E" w:rsidP="00AD111E">
      <w:pPr>
        <w:pStyle w:val="ListParagraph"/>
        <w:rPr>
          <w:sz w:val="20"/>
          <w:szCs w:val="20"/>
        </w:rPr>
      </w:pPr>
    </w:p>
    <w:p w14:paraId="56EE07DE" w14:textId="77777777" w:rsidR="00AD111E" w:rsidRPr="00AD111E" w:rsidRDefault="003B7721">
      <w:pPr>
        <w:pStyle w:val="ListParagraph"/>
        <w:numPr>
          <w:ilvl w:val="0"/>
          <w:numId w:val="29"/>
        </w:numPr>
        <w:jc w:val="both"/>
        <w:rPr>
          <w:rFonts w:cstheme="minorHAnsi"/>
          <w:sz w:val="20"/>
          <w:szCs w:val="20"/>
        </w:rPr>
      </w:pPr>
      <w:r w:rsidRPr="00AD111E">
        <w:rPr>
          <w:sz w:val="20"/>
          <w:szCs w:val="20"/>
        </w:rPr>
        <w:t>UNDP takes gender-integrated approach to all its work across all pillars, to ensure programme and projects meet the needs of both women and men and contribute towards the achievement of gender equality goals. UNDP recognizes gender equality as an essential development goal on its own and vital to accelerating sustainable development overall. Promotion of gender equality and the empowerment of women are central to the mandate of UNDP and its development approach</w:t>
      </w:r>
      <w:r>
        <w:rPr>
          <w:rStyle w:val="FootnoteReference"/>
          <w:sz w:val="20"/>
          <w:szCs w:val="20"/>
        </w:rPr>
        <w:footnoteReference w:id="83"/>
      </w:r>
      <w:r w:rsidRPr="00AD111E">
        <w:rPr>
          <w:sz w:val="20"/>
          <w:szCs w:val="20"/>
        </w:rPr>
        <w:t>.</w:t>
      </w:r>
    </w:p>
    <w:p w14:paraId="04B0B987" w14:textId="77777777" w:rsidR="00AD111E" w:rsidRPr="00AD111E" w:rsidRDefault="00AD111E" w:rsidP="00AD111E">
      <w:pPr>
        <w:pStyle w:val="ListParagraph"/>
        <w:rPr>
          <w:sz w:val="20"/>
          <w:szCs w:val="20"/>
        </w:rPr>
      </w:pPr>
    </w:p>
    <w:p w14:paraId="40CDA4BD" w14:textId="77777777" w:rsidR="00FC2A71" w:rsidRDefault="002E23E7">
      <w:pPr>
        <w:pStyle w:val="ListParagraph"/>
        <w:numPr>
          <w:ilvl w:val="0"/>
          <w:numId w:val="29"/>
        </w:numPr>
        <w:jc w:val="both"/>
        <w:rPr>
          <w:rStyle w:val="DefaultText"/>
          <w:color w:val="auto"/>
        </w:rPr>
      </w:pPr>
      <w:r w:rsidRPr="00FC2A71">
        <w:rPr>
          <w:sz w:val="20"/>
          <w:szCs w:val="20"/>
        </w:rPr>
        <w:t xml:space="preserve">The Kyrgyz national government acknowledges and incorporates gender-related considerations in </w:t>
      </w:r>
      <w:r w:rsidR="004C3776" w:rsidRPr="00FC2A71">
        <w:rPr>
          <w:sz w:val="20"/>
          <w:szCs w:val="20"/>
        </w:rPr>
        <w:t xml:space="preserve">programming for </w:t>
      </w:r>
      <w:r w:rsidRPr="00FC2A71">
        <w:rPr>
          <w:sz w:val="20"/>
          <w:szCs w:val="20"/>
        </w:rPr>
        <w:t xml:space="preserve">addressing climate vulnerability. </w:t>
      </w:r>
      <w:r w:rsidR="00F07597" w:rsidRPr="00FC2A71">
        <w:rPr>
          <w:sz w:val="20"/>
          <w:szCs w:val="20"/>
        </w:rPr>
        <w:t>For instance, the updated Kyrgyzstan's NDC (2021)</w:t>
      </w:r>
      <w:r w:rsidR="00F07597">
        <w:rPr>
          <w:rStyle w:val="FootnoteReference"/>
          <w:sz w:val="20"/>
          <w:szCs w:val="20"/>
        </w:rPr>
        <w:footnoteReference w:id="84"/>
      </w:r>
      <w:r w:rsidR="00F07597" w:rsidRPr="00FC2A71">
        <w:rPr>
          <w:sz w:val="20"/>
          <w:szCs w:val="20"/>
        </w:rPr>
        <w:t xml:space="preserve">, incorporate gender mainstreaming by recognizing that climate change disproportionately affects women, particularly in rural areas, and highlighting their critical role in adaptation, such as in agriculture and water management. The NDC emphasizes the need to include women’s perspectives in climate decision-making and provide them with access to resources, training, and </w:t>
      </w:r>
      <w:r w:rsidR="00F07597" w:rsidRPr="00FC2A71">
        <w:rPr>
          <w:sz w:val="20"/>
          <w:szCs w:val="20"/>
        </w:rPr>
        <w:lastRenderedPageBreak/>
        <w:t xml:space="preserve">technologies to enhance resilience. The </w:t>
      </w:r>
      <w:r w:rsidR="002F4CE2" w:rsidRPr="00FC2A71">
        <w:rPr>
          <w:sz w:val="20"/>
          <w:szCs w:val="20"/>
        </w:rPr>
        <w:t>National Adaptation Planning</w:t>
      </w:r>
      <w:r w:rsidR="008C26A2" w:rsidRPr="00FC2A71">
        <w:rPr>
          <w:sz w:val="20"/>
          <w:szCs w:val="20"/>
        </w:rPr>
        <w:t xml:space="preserve"> (NAP)</w:t>
      </w:r>
      <w:r w:rsidR="002F4CE2" w:rsidRPr="00FC2A71">
        <w:rPr>
          <w:sz w:val="20"/>
          <w:szCs w:val="20"/>
        </w:rPr>
        <w:t xml:space="preserve"> process is designed in alignment with and to advance the goals of the National Strategy on Gender Equality to 2020 and the respective Action Plan on Gender Equality for 2018-2020</w:t>
      </w:r>
      <w:r w:rsidR="002F4CE2">
        <w:rPr>
          <w:rStyle w:val="FootnoteReference"/>
          <w:sz w:val="20"/>
          <w:szCs w:val="20"/>
        </w:rPr>
        <w:footnoteReference w:id="85"/>
      </w:r>
      <w:r w:rsidR="002F4CE2" w:rsidRPr="00FC2A71">
        <w:rPr>
          <w:sz w:val="20"/>
          <w:szCs w:val="20"/>
        </w:rPr>
        <w:t>.</w:t>
      </w:r>
      <w:r w:rsidR="00C804BA" w:rsidRPr="00FC2A71">
        <w:rPr>
          <w:sz w:val="20"/>
          <w:szCs w:val="20"/>
        </w:rPr>
        <w:t xml:space="preserve"> </w:t>
      </w:r>
      <w:r w:rsidR="00FD10E0" w:rsidRPr="00FC2A71">
        <w:rPr>
          <w:sz w:val="20"/>
          <w:szCs w:val="20"/>
        </w:rPr>
        <w:t xml:space="preserve">The National Gender Strategy on Achieving Gender Equality till 2030 </w:t>
      </w:r>
      <w:r w:rsidR="003B2DB3" w:rsidRPr="00FC2A71">
        <w:rPr>
          <w:sz w:val="20"/>
          <w:szCs w:val="20"/>
        </w:rPr>
        <w:t>adopted in September 2022 promotes gender-sensitive approaches in climate change adaptation and mitigation as the priority areas of the national gender policy</w:t>
      </w:r>
      <w:r w:rsidR="00FD10E0" w:rsidRPr="003B2DB3">
        <w:rPr>
          <w:rStyle w:val="FootnoteReference"/>
          <w:rFonts w:cstheme="minorHAnsi"/>
          <w:sz w:val="20"/>
          <w:szCs w:val="20"/>
        </w:rPr>
        <w:footnoteReference w:id="86"/>
      </w:r>
      <w:r w:rsidR="00FD10E0" w:rsidRPr="00FC2A71">
        <w:rPr>
          <w:rStyle w:val="DefaultText"/>
          <w:color w:val="auto"/>
        </w:rPr>
        <w:t>.</w:t>
      </w:r>
    </w:p>
    <w:p w14:paraId="2C35AED1" w14:textId="77777777" w:rsidR="00FC2A71" w:rsidRPr="00FC2A71" w:rsidRDefault="00FC2A71" w:rsidP="00FC2A71">
      <w:pPr>
        <w:pStyle w:val="ListParagraph"/>
        <w:rPr>
          <w:rStyle w:val="DefaultText"/>
          <w:color w:val="auto"/>
        </w:rPr>
      </w:pPr>
    </w:p>
    <w:p w14:paraId="75AAD63E" w14:textId="7C362588" w:rsidR="00FD10E0" w:rsidRPr="00FC2A71" w:rsidRDefault="00D944FA">
      <w:pPr>
        <w:pStyle w:val="ListParagraph"/>
        <w:numPr>
          <w:ilvl w:val="0"/>
          <w:numId w:val="29"/>
        </w:numPr>
        <w:jc w:val="both"/>
        <w:rPr>
          <w:rStyle w:val="DefaultText"/>
          <w:color w:val="auto"/>
        </w:rPr>
      </w:pPr>
      <w:r w:rsidRPr="00FC2A71">
        <w:rPr>
          <w:rStyle w:val="DefaultText"/>
          <w:color w:val="auto"/>
        </w:rPr>
        <w:t xml:space="preserve">Incorporating gender equality into the </w:t>
      </w:r>
      <w:r w:rsidR="005E282F" w:rsidRPr="00FC2A71">
        <w:rPr>
          <w:rStyle w:val="DefaultText"/>
          <w:color w:val="auto"/>
        </w:rPr>
        <w:t>R</w:t>
      </w:r>
      <w:r w:rsidRPr="00FC2A71">
        <w:rPr>
          <w:rStyle w:val="DefaultText"/>
          <w:color w:val="auto"/>
        </w:rPr>
        <w:t>eadiness pro</w:t>
      </w:r>
      <w:r w:rsidR="005E282F" w:rsidRPr="00FC2A71">
        <w:rPr>
          <w:rStyle w:val="DefaultText"/>
          <w:color w:val="auto"/>
        </w:rPr>
        <w:t>gram</w:t>
      </w:r>
      <w:r w:rsidRPr="00FC2A71">
        <w:rPr>
          <w:rStyle w:val="DefaultText"/>
          <w:color w:val="auto"/>
        </w:rPr>
        <w:t xml:space="preserve"> for capacity building of national stakeholders to access and utilize green and climate finance in Kyrgyzstan is essential to ensuring the effectiveness, sustainability, and inclusivity of green and climate finance initiatives. By promoting gender equality, the project can harness the full potential of all stakeholders, driving long-term success in climate resilience and sustainable development.</w:t>
      </w:r>
      <w:r w:rsidR="00B136C3" w:rsidRPr="00FC2A71">
        <w:rPr>
          <w:rStyle w:val="DefaultText"/>
          <w:color w:val="auto"/>
        </w:rPr>
        <w:t xml:space="preserve"> Gender-balanced involvement will enable the integration of diverse perspectives, ensuring that the needs and priorities of all stakeholders are addressed, leading to more effective climate solutions that benefit the whole community. Providing gender-sensitive capacity building trainings and events will empower both men and women to access and manage green and climate resources, enabling them to actively participate in climate initiatives and strengthen the project’s impact. Promoting women’s leadership in project activities will enhance the sustainability of climate solutions</w:t>
      </w:r>
      <w:r w:rsidR="00B136C3">
        <w:rPr>
          <w:rStyle w:val="FootnoteReference"/>
          <w:rFonts w:cstheme="minorHAnsi"/>
          <w:sz w:val="20"/>
          <w:szCs w:val="20"/>
        </w:rPr>
        <w:footnoteReference w:id="87"/>
      </w:r>
      <w:r w:rsidR="00B136C3" w:rsidRPr="00FC2A71">
        <w:rPr>
          <w:rStyle w:val="DefaultText"/>
          <w:color w:val="auto"/>
        </w:rPr>
        <w:t xml:space="preserve"> and empower women as key agents of change</w:t>
      </w:r>
      <w:r w:rsidR="00102F36">
        <w:rPr>
          <w:rStyle w:val="FootnoteReference"/>
          <w:rFonts w:cstheme="minorHAnsi"/>
          <w:sz w:val="20"/>
          <w:szCs w:val="20"/>
        </w:rPr>
        <w:footnoteReference w:id="88"/>
      </w:r>
      <w:r w:rsidR="00B136C3" w:rsidRPr="00FC2A71">
        <w:rPr>
          <w:rStyle w:val="DefaultText"/>
          <w:color w:val="auto"/>
        </w:rPr>
        <w:t>.</w:t>
      </w:r>
      <w:r w:rsidR="00B562D2" w:rsidRPr="00FC2A71">
        <w:rPr>
          <w:rStyle w:val="DefaultText"/>
          <w:color w:val="auto"/>
        </w:rPr>
        <w:t xml:space="preserve"> Women's knowledge and potential are critical to address climate change, as women might have different skills and knowledge than men in the sustainable use of natural resources.</w:t>
      </w:r>
      <w:r w:rsidR="000E2655" w:rsidRPr="00FC2A71">
        <w:rPr>
          <w:rStyle w:val="DefaultText"/>
          <w:color w:val="auto"/>
        </w:rPr>
        <w:t xml:space="preserve"> Further, some studies have shown that women in the finance and investment sectors tend to be more risk-averse</w:t>
      </w:r>
      <w:r w:rsidR="005B678D" w:rsidRPr="00FC2A71">
        <w:rPr>
          <w:rStyle w:val="DefaultText"/>
          <w:color w:val="auto"/>
        </w:rPr>
        <w:t xml:space="preserve">, </w:t>
      </w:r>
      <w:r w:rsidR="000E2655" w:rsidRPr="00FC2A71">
        <w:rPr>
          <w:rStyle w:val="DefaultText"/>
          <w:color w:val="auto"/>
        </w:rPr>
        <w:t>cautious</w:t>
      </w:r>
      <w:r w:rsidR="005B678D" w:rsidRPr="00FC2A71">
        <w:rPr>
          <w:rStyle w:val="DefaultText"/>
          <w:color w:val="auto"/>
        </w:rPr>
        <w:t xml:space="preserve"> and prudent</w:t>
      </w:r>
      <w:r w:rsidR="000E2655" w:rsidRPr="00FC2A71">
        <w:rPr>
          <w:rStyle w:val="DefaultText"/>
          <w:color w:val="auto"/>
        </w:rPr>
        <w:t xml:space="preserve"> compared to their male counterparts. This difference in risk preferences has been linked to women's tendency to focus on long-term security and stability, often resulting in more prudent investment decisions. This could lead to more sustainable financing strategies, which </w:t>
      </w:r>
      <w:r w:rsidR="00880D66" w:rsidRPr="00FC2A71">
        <w:rPr>
          <w:rStyle w:val="DefaultText"/>
          <w:color w:val="auto"/>
        </w:rPr>
        <w:t>are</w:t>
      </w:r>
      <w:r w:rsidR="000E2655" w:rsidRPr="00FC2A71">
        <w:rPr>
          <w:rStyle w:val="DefaultText"/>
          <w:color w:val="auto"/>
        </w:rPr>
        <w:t xml:space="preserve"> important in sectors such as green and climate finance.</w:t>
      </w:r>
    </w:p>
    <w:p w14:paraId="4B7B4DE6" w14:textId="313F2661" w:rsidR="00BC53B2" w:rsidRDefault="000A41C8" w:rsidP="00880D66">
      <w:pPr>
        <w:pStyle w:val="ListParagraph"/>
        <w:numPr>
          <w:ilvl w:val="0"/>
          <w:numId w:val="29"/>
        </w:numPr>
        <w:spacing w:before="120" w:after="120" w:line="240" w:lineRule="auto"/>
        <w:jc w:val="both"/>
        <w:rPr>
          <w:rStyle w:val="DefaultText"/>
          <w:color w:val="auto"/>
        </w:rPr>
      </w:pPr>
      <w:r w:rsidRPr="00880D66">
        <w:rPr>
          <w:rStyle w:val="DefaultText"/>
          <w:color w:val="auto"/>
        </w:rPr>
        <w:t>In line with national strategic documents, UNDP’s Gender Equality Strategy</w:t>
      </w:r>
      <w:r>
        <w:rPr>
          <w:rStyle w:val="FootnoteReference"/>
          <w:rFonts w:cstheme="minorHAnsi"/>
          <w:sz w:val="20"/>
          <w:szCs w:val="20"/>
        </w:rPr>
        <w:footnoteReference w:id="89"/>
      </w:r>
      <w:r w:rsidR="008E02EC" w:rsidRPr="00880D66">
        <w:rPr>
          <w:rStyle w:val="DefaultText"/>
          <w:color w:val="auto"/>
        </w:rPr>
        <w:t xml:space="preserve"> </w:t>
      </w:r>
      <w:r w:rsidRPr="00880D66">
        <w:rPr>
          <w:rStyle w:val="DefaultText"/>
          <w:color w:val="auto"/>
        </w:rPr>
        <w:t>and the GCF Gender Policy</w:t>
      </w:r>
      <w:r>
        <w:rPr>
          <w:rStyle w:val="FootnoteReference"/>
          <w:rFonts w:cstheme="minorHAnsi"/>
          <w:sz w:val="20"/>
          <w:szCs w:val="20"/>
        </w:rPr>
        <w:footnoteReference w:id="90"/>
      </w:r>
      <w:r w:rsidR="008E02EC" w:rsidRPr="00880D66">
        <w:rPr>
          <w:rStyle w:val="DefaultText"/>
          <w:color w:val="auto"/>
        </w:rPr>
        <w:t>, t</w:t>
      </w:r>
      <w:r w:rsidR="0030478D" w:rsidRPr="00880D66">
        <w:rPr>
          <w:rStyle w:val="DefaultText"/>
          <w:color w:val="auto"/>
        </w:rPr>
        <w:t>he project</w:t>
      </w:r>
      <w:r w:rsidR="00CF1FD7" w:rsidRPr="00880D66">
        <w:rPr>
          <w:rStyle w:val="DefaultText"/>
          <w:color w:val="auto"/>
        </w:rPr>
        <w:t xml:space="preserve"> will be guided by </w:t>
      </w:r>
      <w:r w:rsidR="00B974C5" w:rsidRPr="00880D66">
        <w:rPr>
          <w:rStyle w:val="DefaultText"/>
          <w:color w:val="auto"/>
        </w:rPr>
        <w:t>best practices of a gender responsive approach, including the development of a more nuanced understanding of the linkages between gender and climate finance, the enhancement of institutional linkages between climate finance and gender equality, the improvement of gender-balance in climate finance institutional arrangements (in terms of participation and influence), the identification of existing capacities and gaps related to gender and climate finance; ; undertake a gender-balanced and inclusive stakeholder engagement; use of gender analysis and stakeholder inputs efficiently and effectivel</w:t>
      </w:r>
      <w:r w:rsidR="00D70C09" w:rsidRPr="00880D66">
        <w:rPr>
          <w:rStyle w:val="DefaultText"/>
          <w:color w:val="auto"/>
        </w:rPr>
        <w:t>y.</w:t>
      </w:r>
      <w:r w:rsidR="004B26FF" w:rsidRPr="00880D66">
        <w:rPr>
          <w:rStyle w:val="DefaultText"/>
          <w:color w:val="auto"/>
        </w:rPr>
        <w:t xml:space="preserve"> </w:t>
      </w:r>
      <w:r w:rsidR="00CF1FD7" w:rsidRPr="00880D66">
        <w:rPr>
          <w:rStyle w:val="DefaultText"/>
          <w:color w:val="auto"/>
        </w:rPr>
        <w:t xml:space="preserve">The project will collect gender-disaggregated data, information and analysis, which will be reflected in respective project documentation, publications and </w:t>
      </w:r>
      <w:r w:rsidR="00880D66" w:rsidRPr="00880D66">
        <w:rPr>
          <w:rStyle w:val="DefaultText"/>
          <w:color w:val="auto"/>
        </w:rPr>
        <w:t>reports</w:t>
      </w:r>
      <w:r w:rsidR="00CF1FD7" w:rsidRPr="00880D66">
        <w:rPr>
          <w:rStyle w:val="DefaultText"/>
          <w:color w:val="auto"/>
        </w:rPr>
        <w:t xml:space="preserve"> accordingly. The project will ensure that specific needs of women are met and that women enjoy equal access to the project activities, outputs, results and benefits</w:t>
      </w:r>
      <w:r w:rsidR="00A55533" w:rsidRPr="00880D66">
        <w:rPr>
          <w:rStyle w:val="DefaultText"/>
          <w:color w:val="auto"/>
        </w:rPr>
        <w:t>, ensuring an active and equitable engagement and empowerment of women throughout the project</w:t>
      </w:r>
      <w:r w:rsidR="00CF1FD7" w:rsidRPr="00880D66">
        <w:rPr>
          <w:rStyle w:val="DefaultText"/>
          <w:color w:val="auto"/>
        </w:rPr>
        <w:t>.</w:t>
      </w:r>
      <w:r w:rsidR="004F0381" w:rsidRPr="00880D66">
        <w:rPr>
          <w:rStyle w:val="DefaultText"/>
          <w:color w:val="auto"/>
        </w:rPr>
        <w:t xml:space="preserve"> Gender mainstreaming shall be promoted throughout all events to be organized within the context of this project, including consideration of gender-balanced participation, gender-responsive development of workshops, events, and training, and gender-balanced facilitation.</w:t>
      </w:r>
      <w:r w:rsidR="004B26FF" w:rsidRPr="00880D66">
        <w:rPr>
          <w:rStyle w:val="DefaultText"/>
          <w:color w:val="auto"/>
        </w:rPr>
        <w:t xml:space="preserve"> </w:t>
      </w:r>
      <w:r w:rsidR="00B974C5" w:rsidRPr="00880D66">
        <w:rPr>
          <w:rStyle w:val="DefaultText"/>
          <w:color w:val="auto"/>
        </w:rPr>
        <w:t>Specific entry points for this gender-responsive approach are detailed in the logical framework.</w:t>
      </w:r>
    </w:p>
    <w:p w14:paraId="29FD47C7" w14:textId="77777777" w:rsidR="00880D66" w:rsidRPr="00880D66" w:rsidRDefault="00880D66" w:rsidP="00880D66">
      <w:pPr>
        <w:pStyle w:val="ListParagraph"/>
        <w:spacing w:before="120" w:after="120" w:line="240" w:lineRule="auto"/>
        <w:ind w:left="360"/>
        <w:jc w:val="both"/>
        <w:rPr>
          <w:rStyle w:val="DefaultText"/>
          <w:color w:val="auto"/>
        </w:rPr>
      </w:pPr>
    </w:p>
    <w:p w14:paraId="2DE53791" w14:textId="015A37D6" w:rsidR="00F97840" w:rsidRPr="00AF3539" w:rsidRDefault="00F97840" w:rsidP="00163FD5">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Gaps and Barriers</w:t>
      </w:r>
      <w:r w:rsidR="009D5709">
        <w:rPr>
          <w:b/>
          <w:color w:val="276E8B" w:themeColor="accent1" w:themeShade="BF"/>
        </w:rPr>
        <w:t xml:space="preserve"> </w:t>
      </w:r>
    </w:p>
    <w:p w14:paraId="42E54C43" w14:textId="77777777" w:rsidR="006006D6" w:rsidRPr="008571E0" w:rsidRDefault="006006D6" w:rsidP="006006D6">
      <w:pPr>
        <w:spacing w:before="120" w:after="120"/>
        <w:jc w:val="both"/>
        <w:rPr>
          <w:b/>
          <w:bCs/>
        </w:rPr>
      </w:pPr>
      <w:r w:rsidRPr="008571E0">
        <w:rPr>
          <w:b/>
          <w:bCs/>
        </w:rPr>
        <w:t>Gaps and Barriers</w:t>
      </w:r>
    </w:p>
    <w:p w14:paraId="71AB8AE4" w14:textId="57955F4C" w:rsidR="006006D6" w:rsidRPr="006A431E" w:rsidRDefault="006006D6" w:rsidP="00363754">
      <w:pPr>
        <w:pStyle w:val="ListParagraph"/>
        <w:numPr>
          <w:ilvl w:val="0"/>
          <w:numId w:val="29"/>
        </w:numPr>
        <w:spacing w:before="120" w:after="120"/>
        <w:jc w:val="both"/>
        <w:rPr>
          <w:sz w:val="20"/>
          <w:szCs w:val="20"/>
        </w:rPr>
      </w:pPr>
      <w:r w:rsidRPr="00363754">
        <w:rPr>
          <w:sz w:val="20"/>
          <w:szCs w:val="20"/>
        </w:rPr>
        <w:t xml:space="preserve">The proposed project aligns with the priorities and objectives outlined in Kyrgyzstan’s National Development Programme 2026 and the updated Nationally Determined Contributions. The updated NDC, submitted in 2021, sets an ambitious target to reduce GHG emissions by 43.62% by 2030 compared to 1990 levels. </w:t>
      </w:r>
      <w:r w:rsidRPr="00CA1FF2">
        <w:rPr>
          <w:sz w:val="20"/>
          <w:szCs w:val="20"/>
        </w:rPr>
        <w:t>The total estimated cost for implementing the NDC, including both adaptation and mitigation measures, is approximately USD 10 billion, with 63% of this amount requiring mobilization from additional resources beyond projected available funding.</w:t>
      </w:r>
      <w:r w:rsidRPr="006A431E">
        <w:rPr>
          <w:sz w:val="20"/>
          <w:szCs w:val="20"/>
        </w:rPr>
        <w:t xml:space="preserve"> </w:t>
      </w:r>
    </w:p>
    <w:p w14:paraId="127F5369" w14:textId="77777777" w:rsidR="00363754" w:rsidRPr="00363754" w:rsidRDefault="00363754" w:rsidP="00363754">
      <w:pPr>
        <w:pStyle w:val="ListParagraph"/>
        <w:spacing w:before="120" w:after="120"/>
        <w:ind w:left="360"/>
        <w:jc w:val="both"/>
        <w:rPr>
          <w:sz w:val="20"/>
          <w:szCs w:val="20"/>
        </w:rPr>
      </w:pPr>
    </w:p>
    <w:p w14:paraId="5F1A1EAF" w14:textId="53D72499" w:rsidR="00A969DA" w:rsidRPr="00A969DA" w:rsidRDefault="006006D6">
      <w:pPr>
        <w:pStyle w:val="ListParagraph"/>
        <w:numPr>
          <w:ilvl w:val="0"/>
          <w:numId w:val="29"/>
        </w:numPr>
        <w:spacing w:before="120" w:after="120"/>
        <w:jc w:val="both"/>
        <w:rPr>
          <w:sz w:val="20"/>
          <w:szCs w:val="20"/>
        </w:rPr>
      </w:pPr>
      <w:r w:rsidRPr="00A969DA">
        <w:rPr>
          <w:sz w:val="20"/>
          <w:szCs w:val="20"/>
        </w:rPr>
        <w:t>The scale of financing required to meet Kyrgyzstan’s climate goals underscores the critical role of private finance in bridging the gap between national resources and the vast additional funding needed. Private financial institutions are not only essential suppliers of green finance products but also critical catalysts for stimulating demand for such financing. Their involvement is crucial in scaling up investments in sustainable sectors and fostering innovations that contribute to low-carbon development.</w:t>
      </w:r>
    </w:p>
    <w:p w14:paraId="4777EF0A" w14:textId="77777777" w:rsidR="00A969DA" w:rsidRPr="00A969DA" w:rsidRDefault="00A969DA" w:rsidP="00A969DA">
      <w:pPr>
        <w:pStyle w:val="ListParagraph"/>
        <w:spacing w:before="120" w:after="120"/>
        <w:ind w:left="360"/>
        <w:jc w:val="both"/>
        <w:rPr>
          <w:sz w:val="20"/>
          <w:szCs w:val="20"/>
        </w:rPr>
      </w:pPr>
    </w:p>
    <w:p w14:paraId="15CBDC44" w14:textId="77777777" w:rsidR="00A969DA" w:rsidRDefault="006006D6">
      <w:pPr>
        <w:pStyle w:val="ListParagraph"/>
        <w:numPr>
          <w:ilvl w:val="0"/>
          <w:numId w:val="29"/>
        </w:numPr>
        <w:spacing w:before="120" w:after="120"/>
        <w:jc w:val="both"/>
        <w:rPr>
          <w:sz w:val="20"/>
          <w:szCs w:val="20"/>
        </w:rPr>
      </w:pPr>
      <w:r w:rsidRPr="00A969DA">
        <w:rPr>
          <w:sz w:val="20"/>
          <w:szCs w:val="20"/>
        </w:rPr>
        <w:t xml:space="preserve">The financial sector, as a key enabler of green and climate finance, has significant untapped potential. According to UNDP assessments, the annual demand for green finance in Kyrgyzstan is estimated at USD 150 million, with the national banking sector’s potential market capacity projected at USD 415 million over the next five years. However, current green financing mechanisms in Kyrgyzstan are still in their infancy and require concerted support to ensure a nationwide roll-out of sustainable, market-based financing solutions. </w:t>
      </w:r>
    </w:p>
    <w:p w14:paraId="48CDEC34" w14:textId="77777777" w:rsidR="00A969DA" w:rsidRPr="00A969DA" w:rsidRDefault="00A969DA" w:rsidP="00A969DA">
      <w:pPr>
        <w:pStyle w:val="ListParagraph"/>
        <w:rPr>
          <w:sz w:val="20"/>
          <w:szCs w:val="20"/>
        </w:rPr>
      </w:pPr>
    </w:p>
    <w:p w14:paraId="3038595E" w14:textId="5AF2203E" w:rsidR="006006D6" w:rsidRPr="00A969DA" w:rsidRDefault="006006D6">
      <w:pPr>
        <w:pStyle w:val="ListParagraph"/>
        <w:numPr>
          <w:ilvl w:val="0"/>
          <w:numId w:val="29"/>
        </w:numPr>
        <w:spacing w:before="120" w:after="120"/>
        <w:jc w:val="both"/>
        <w:rPr>
          <w:sz w:val="20"/>
          <w:szCs w:val="20"/>
        </w:rPr>
      </w:pPr>
      <w:r w:rsidRPr="00A969DA">
        <w:rPr>
          <w:sz w:val="20"/>
          <w:szCs w:val="20"/>
        </w:rPr>
        <w:t xml:space="preserve">As identified in stakeholder consultations, the proposed project addresses main gaps and needs the financial institutions and relevant public entities to access, deploy, and transparently manage green finance, aligning resources with Kyrgyzstan’s climate and development goals. </w:t>
      </w:r>
    </w:p>
    <w:p w14:paraId="7CC92DE8" w14:textId="0D304C19" w:rsidR="006006D6" w:rsidRPr="00B07CEA" w:rsidRDefault="006006D6" w:rsidP="00B07CEA">
      <w:pPr>
        <w:pStyle w:val="ListParagraph"/>
        <w:numPr>
          <w:ilvl w:val="0"/>
          <w:numId w:val="29"/>
        </w:numPr>
        <w:spacing w:before="120" w:after="120"/>
        <w:jc w:val="both"/>
        <w:rPr>
          <w:sz w:val="20"/>
          <w:szCs w:val="20"/>
        </w:rPr>
      </w:pPr>
      <w:r w:rsidRPr="00B07CEA">
        <w:rPr>
          <w:sz w:val="20"/>
          <w:szCs w:val="20"/>
        </w:rPr>
        <w:t>Building on previous programming experiences, and consultations with stakeholders in 2024, UNDP has identified four primary barriers impeding the financial sector’s ability to mobilize and deploy green finance effectively:</w:t>
      </w:r>
    </w:p>
    <w:p w14:paraId="4CF3176A" w14:textId="5431063D" w:rsidR="006006D6" w:rsidRPr="006006D6" w:rsidRDefault="008F29A4" w:rsidP="00163FD5">
      <w:pPr>
        <w:pStyle w:val="ListParagraph"/>
        <w:numPr>
          <w:ilvl w:val="0"/>
          <w:numId w:val="8"/>
        </w:numPr>
        <w:spacing w:after="0" w:line="240" w:lineRule="auto"/>
        <w:jc w:val="both"/>
        <w:rPr>
          <w:sz w:val="20"/>
          <w:szCs w:val="20"/>
        </w:rPr>
      </w:pPr>
      <w:r>
        <w:rPr>
          <w:sz w:val="20"/>
          <w:szCs w:val="20"/>
        </w:rPr>
        <w:t xml:space="preserve">Barrier 1: </w:t>
      </w:r>
      <w:r w:rsidR="006006D6" w:rsidRPr="006006D6">
        <w:rPr>
          <w:sz w:val="20"/>
          <w:szCs w:val="20"/>
        </w:rPr>
        <w:t>Insufficient sectoral regulatory frameworks and bylaws for green finance</w:t>
      </w:r>
      <w:r w:rsidR="00FC29CB" w:rsidRPr="00FC29CB">
        <w:rPr>
          <w:sz w:val="20"/>
          <w:szCs w:val="20"/>
        </w:rPr>
        <w:t>;</w:t>
      </w:r>
    </w:p>
    <w:p w14:paraId="24D61A59" w14:textId="1E2D614D" w:rsidR="006006D6" w:rsidRPr="006006D6" w:rsidRDefault="008F29A4" w:rsidP="00163FD5">
      <w:pPr>
        <w:pStyle w:val="ListParagraph"/>
        <w:numPr>
          <w:ilvl w:val="0"/>
          <w:numId w:val="8"/>
        </w:numPr>
        <w:spacing w:after="0" w:line="240" w:lineRule="auto"/>
        <w:jc w:val="both"/>
        <w:rPr>
          <w:sz w:val="20"/>
          <w:szCs w:val="20"/>
        </w:rPr>
      </w:pPr>
      <w:r>
        <w:rPr>
          <w:sz w:val="20"/>
          <w:szCs w:val="20"/>
        </w:rPr>
        <w:t xml:space="preserve">Barrier 2: </w:t>
      </w:r>
      <w:r w:rsidR="006006D6" w:rsidRPr="006006D6">
        <w:rPr>
          <w:sz w:val="20"/>
          <w:szCs w:val="20"/>
        </w:rPr>
        <w:t xml:space="preserve">Inadequate capacity of financial institutions to transparently and accountably track green finance </w:t>
      </w:r>
      <w:r w:rsidR="00B07CEA" w:rsidRPr="006006D6">
        <w:rPr>
          <w:sz w:val="20"/>
          <w:szCs w:val="20"/>
        </w:rPr>
        <w:t>operations</w:t>
      </w:r>
      <w:r w:rsidR="00B07CEA" w:rsidRPr="00FC29CB">
        <w:rPr>
          <w:sz w:val="20"/>
          <w:szCs w:val="20"/>
        </w:rPr>
        <w:t>.</w:t>
      </w:r>
    </w:p>
    <w:p w14:paraId="44BD7DD5" w14:textId="2F5236D4" w:rsidR="006006D6" w:rsidRPr="006006D6" w:rsidRDefault="008F29A4" w:rsidP="00163FD5">
      <w:pPr>
        <w:pStyle w:val="ListParagraph"/>
        <w:numPr>
          <w:ilvl w:val="0"/>
          <w:numId w:val="8"/>
        </w:numPr>
        <w:spacing w:after="0" w:line="240" w:lineRule="auto"/>
        <w:jc w:val="both"/>
        <w:rPr>
          <w:sz w:val="20"/>
          <w:szCs w:val="20"/>
        </w:rPr>
      </w:pPr>
      <w:r>
        <w:rPr>
          <w:sz w:val="20"/>
          <w:szCs w:val="20"/>
        </w:rPr>
        <w:t xml:space="preserve">Barrier 3: </w:t>
      </w:r>
      <w:r w:rsidR="006006D6" w:rsidRPr="006006D6">
        <w:rPr>
          <w:sz w:val="20"/>
          <w:szCs w:val="20"/>
        </w:rPr>
        <w:t>The discrepancy between the current green finance supply and the demand for green products</w:t>
      </w:r>
      <w:r w:rsidR="00FC29CB" w:rsidRPr="00FC29CB">
        <w:rPr>
          <w:sz w:val="20"/>
          <w:szCs w:val="20"/>
        </w:rPr>
        <w:t>;</w:t>
      </w:r>
    </w:p>
    <w:p w14:paraId="34912261" w14:textId="49C60189" w:rsidR="006006D6" w:rsidRPr="006006D6" w:rsidRDefault="008F29A4" w:rsidP="00163FD5">
      <w:pPr>
        <w:pStyle w:val="ListParagraph"/>
        <w:numPr>
          <w:ilvl w:val="0"/>
          <w:numId w:val="8"/>
        </w:numPr>
        <w:spacing w:after="0" w:line="240" w:lineRule="auto"/>
        <w:jc w:val="both"/>
        <w:rPr>
          <w:sz w:val="20"/>
          <w:szCs w:val="20"/>
        </w:rPr>
      </w:pPr>
      <w:r>
        <w:rPr>
          <w:sz w:val="20"/>
          <w:szCs w:val="20"/>
        </w:rPr>
        <w:t xml:space="preserve">Barrier 4: </w:t>
      </w:r>
      <w:r w:rsidR="006006D6" w:rsidRPr="006006D6">
        <w:rPr>
          <w:sz w:val="20"/>
          <w:szCs w:val="20"/>
        </w:rPr>
        <w:t>Absence of incentives for financial institutions to promote green finance products</w:t>
      </w:r>
      <w:r w:rsidR="00FC29CB" w:rsidRPr="00FC29CB">
        <w:rPr>
          <w:sz w:val="20"/>
          <w:szCs w:val="20"/>
        </w:rPr>
        <w:t>;</w:t>
      </w:r>
    </w:p>
    <w:p w14:paraId="4F43D41E" w14:textId="6C6E1101" w:rsidR="006006D6" w:rsidRDefault="008F29A4" w:rsidP="00163FD5">
      <w:pPr>
        <w:pStyle w:val="ListParagraph"/>
        <w:numPr>
          <w:ilvl w:val="0"/>
          <w:numId w:val="8"/>
        </w:numPr>
        <w:tabs>
          <w:tab w:val="left" w:pos="1124"/>
        </w:tabs>
        <w:spacing w:line="240" w:lineRule="auto"/>
        <w:jc w:val="both"/>
        <w:rPr>
          <w:sz w:val="20"/>
          <w:szCs w:val="20"/>
        </w:rPr>
      </w:pPr>
      <w:r>
        <w:rPr>
          <w:sz w:val="20"/>
          <w:szCs w:val="20"/>
        </w:rPr>
        <w:t xml:space="preserve">Barrier 5: </w:t>
      </w:r>
      <w:r w:rsidR="006006D6" w:rsidRPr="006006D6">
        <w:rPr>
          <w:sz w:val="20"/>
          <w:szCs w:val="20"/>
        </w:rPr>
        <w:t>Limited knowledge of financial institutions to access green finance for private sector</w:t>
      </w:r>
    </w:p>
    <w:p w14:paraId="67079361" w14:textId="77777777" w:rsidR="00B07CEA" w:rsidRPr="006006D6" w:rsidRDefault="00B07CEA" w:rsidP="00B07CEA">
      <w:pPr>
        <w:pStyle w:val="ListParagraph"/>
        <w:tabs>
          <w:tab w:val="left" w:pos="1124"/>
        </w:tabs>
        <w:spacing w:line="240" w:lineRule="auto"/>
        <w:jc w:val="both"/>
        <w:rPr>
          <w:sz w:val="20"/>
          <w:szCs w:val="20"/>
        </w:rPr>
      </w:pPr>
    </w:p>
    <w:p w14:paraId="2C625A74" w14:textId="1CB1FD22" w:rsidR="00480DC1" w:rsidRDefault="006006D6">
      <w:pPr>
        <w:pStyle w:val="ListParagraph"/>
        <w:numPr>
          <w:ilvl w:val="0"/>
          <w:numId w:val="29"/>
        </w:numPr>
        <w:jc w:val="both"/>
        <w:rPr>
          <w:sz w:val="20"/>
          <w:szCs w:val="20"/>
        </w:rPr>
      </w:pPr>
      <w:r w:rsidRPr="00480DC1">
        <w:rPr>
          <w:sz w:val="20"/>
          <w:szCs w:val="20"/>
        </w:rPr>
        <w:t xml:space="preserve">The </w:t>
      </w:r>
      <w:r w:rsidRPr="00480DC1">
        <w:rPr>
          <w:b/>
          <w:bCs/>
          <w:sz w:val="20"/>
          <w:szCs w:val="20"/>
        </w:rPr>
        <w:t>first barrier</w:t>
      </w:r>
      <w:r w:rsidRPr="00480DC1">
        <w:rPr>
          <w:sz w:val="20"/>
          <w:szCs w:val="20"/>
        </w:rPr>
        <w:t xml:space="preserve"> relates to</w:t>
      </w:r>
      <w:r w:rsidRPr="00480DC1">
        <w:rPr>
          <w:b/>
          <w:bCs/>
          <w:sz w:val="20"/>
          <w:szCs w:val="20"/>
        </w:rPr>
        <w:t xml:space="preserve"> the insufficient regulatory frameworks and sectoral bylaws governing green finance.</w:t>
      </w:r>
      <w:r w:rsidR="001C27AE" w:rsidRPr="00480DC1">
        <w:rPr>
          <w:b/>
          <w:bCs/>
          <w:sz w:val="20"/>
          <w:szCs w:val="20"/>
        </w:rPr>
        <w:t xml:space="preserve"> </w:t>
      </w:r>
      <w:r w:rsidRPr="00480DC1">
        <w:rPr>
          <w:sz w:val="20"/>
          <w:szCs w:val="20"/>
        </w:rPr>
        <w:t>While the broader regulatory environment for the climate change agenda remains underdeveloped, the Government of Kyrgyzstan has initiated several policy measures aimed at advancing the green finance agenda. Earlier this year, under the leadership of the Ministry of Economy and Commerce (</w:t>
      </w:r>
      <w:proofErr w:type="spellStart"/>
      <w:r w:rsidRPr="00480DC1">
        <w:rPr>
          <w:sz w:val="20"/>
          <w:szCs w:val="20"/>
        </w:rPr>
        <w:t>MoEC</w:t>
      </w:r>
      <w:proofErr w:type="spellEnd"/>
      <w:r w:rsidRPr="00480DC1">
        <w:rPr>
          <w:sz w:val="20"/>
          <w:szCs w:val="20"/>
        </w:rPr>
        <w:t xml:space="preserve">), the Government developed a Draft Green Taxonomy aligned with the country’s climate priorities. </w:t>
      </w:r>
      <w:r w:rsidR="007039B1" w:rsidRPr="00480DC1">
        <w:rPr>
          <w:sz w:val="20"/>
          <w:szCs w:val="20"/>
        </w:rPr>
        <w:t>Taxonomy</w:t>
      </w:r>
      <w:r w:rsidRPr="00480DC1">
        <w:rPr>
          <w:sz w:val="20"/>
          <w:szCs w:val="20"/>
        </w:rPr>
        <w:t xml:space="preserve"> is expected to be adopted by the end of 2024. However, national stakeholders currently lack the necessary expertise and human resources to ensure the practical application of this document in Kyrgyzstan’s context. Furthermore, no concrete commitments or resources have been allocated to support the next steps. In consultation with the </w:t>
      </w:r>
      <w:proofErr w:type="spellStart"/>
      <w:r w:rsidRPr="00480DC1">
        <w:rPr>
          <w:sz w:val="20"/>
          <w:szCs w:val="20"/>
        </w:rPr>
        <w:t>MoEC</w:t>
      </w:r>
      <w:proofErr w:type="spellEnd"/>
      <w:r w:rsidRPr="00480DC1">
        <w:rPr>
          <w:sz w:val="20"/>
          <w:szCs w:val="20"/>
        </w:rPr>
        <w:t>, these steps are expected to include the development of detailed sectoral guidelines and training materials for the Tax Customs Service, the State Tax Service, and financial institutions, as well as the creation of an open digital database to facilitate easy reference to the taxonomy.</w:t>
      </w:r>
    </w:p>
    <w:p w14:paraId="0D050E95" w14:textId="77777777" w:rsidR="00480DC1" w:rsidRDefault="00480DC1" w:rsidP="00480DC1">
      <w:pPr>
        <w:pStyle w:val="ListParagraph"/>
        <w:ind w:left="360"/>
        <w:jc w:val="both"/>
        <w:rPr>
          <w:sz w:val="20"/>
          <w:szCs w:val="20"/>
        </w:rPr>
      </w:pPr>
    </w:p>
    <w:p w14:paraId="0264C5B2" w14:textId="77777777" w:rsidR="0010210A" w:rsidRDefault="006006D6">
      <w:pPr>
        <w:pStyle w:val="ListParagraph"/>
        <w:numPr>
          <w:ilvl w:val="0"/>
          <w:numId w:val="29"/>
        </w:numPr>
        <w:jc w:val="both"/>
        <w:rPr>
          <w:sz w:val="20"/>
          <w:szCs w:val="20"/>
        </w:rPr>
      </w:pPr>
      <w:r w:rsidRPr="0010210A">
        <w:rPr>
          <w:sz w:val="20"/>
          <w:szCs w:val="20"/>
        </w:rPr>
        <w:t>The National Bank of the Kyrgyz Republic (NBKR), as the principal financial regulator, has yet to adopt comprehensive standards or guidelines specifically tailored to green financing. The NBKR’s current regulatory framework is focused primarily on prudential standards, accounting practices, and risk management. While the NBKR has issued Recommendations for Identifying, Monitoring, and Disclosing Financial Risks Related to Sustainable Financing Factors (ESG risks), these recommendations are non-binding and do not require financial institutions to report on their green finance portfolios.</w:t>
      </w:r>
      <w:r w:rsidR="00EF57D3" w:rsidRPr="0010210A">
        <w:rPr>
          <w:sz w:val="20"/>
          <w:szCs w:val="20"/>
        </w:rPr>
        <w:t xml:space="preserve"> </w:t>
      </w:r>
      <w:r w:rsidRPr="0010210A">
        <w:rPr>
          <w:sz w:val="20"/>
          <w:szCs w:val="20"/>
        </w:rPr>
        <w:t xml:space="preserve">Moreover, the NBKR lacks clear and specific standards to define what constitutes green finance. With the anticipated adoption of the Green Taxonomy, it is essential for financial institutions to report on green finance activities to align with the taxonomy. Such reporting will play a crucial role in formulating evidence-based policies and targeted incentives to foster the growth of green finance in Kyrgyzstan. </w:t>
      </w:r>
    </w:p>
    <w:p w14:paraId="6F00E30D" w14:textId="77777777" w:rsidR="0010210A" w:rsidRPr="0010210A" w:rsidRDefault="0010210A" w:rsidP="0010210A">
      <w:pPr>
        <w:pStyle w:val="ListParagraph"/>
        <w:rPr>
          <w:b/>
          <w:bCs/>
          <w:sz w:val="20"/>
          <w:szCs w:val="20"/>
        </w:rPr>
      </w:pPr>
    </w:p>
    <w:p w14:paraId="09B77C5F" w14:textId="77777777" w:rsidR="0010210A" w:rsidRDefault="00252348">
      <w:pPr>
        <w:pStyle w:val="ListParagraph"/>
        <w:numPr>
          <w:ilvl w:val="0"/>
          <w:numId w:val="29"/>
        </w:numPr>
        <w:jc w:val="both"/>
        <w:rPr>
          <w:sz w:val="20"/>
          <w:szCs w:val="20"/>
        </w:rPr>
      </w:pPr>
      <w:r w:rsidRPr="0010210A">
        <w:rPr>
          <w:b/>
          <w:bCs/>
          <w:sz w:val="20"/>
          <w:szCs w:val="20"/>
        </w:rPr>
        <w:lastRenderedPageBreak/>
        <w:t xml:space="preserve">Barrier 2. </w:t>
      </w:r>
      <w:r w:rsidR="006006D6" w:rsidRPr="0010210A">
        <w:rPr>
          <w:b/>
          <w:bCs/>
          <w:sz w:val="20"/>
          <w:szCs w:val="20"/>
        </w:rPr>
        <w:t>Inadequate capacity of financial institutions to transparently and accountably track green finance operations</w:t>
      </w:r>
      <w:r w:rsidR="001C27AE" w:rsidRPr="0010210A">
        <w:rPr>
          <w:b/>
          <w:bCs/>
          <w:sz w:val="20"/>
          <w:szCs w:val="20"/>
        </w:rPr>
        <w:t xml:space="preserve">. </w:t>
      </w:r>
      <w:r w:rsidR="006006D6" w:rsidRPr="0010210A">
        <w:rPr>
          <w:sz w:val="20"/>
          <w:szCs w:val="20"/>
        </w:rPr>
        <w:t>The ability of financial institutions in Kyrgyzstan to transparently and accountably track green finance operations remains a significant barrier to scaling up sustainable financing in the country. While there is growing recognition of the importance of green finance, many financial institutions lack the foundational tools, systems, and expertise to monitor and report on their activities effectively. This gap undermines their ability to align with the emerging national Green Taxonomy, access concessional funds from the State Development Bank, and attract international climate finance, which is critical to meeting Kyrgyzstan's ambitious climate targets.</w:t>
      </w:r>
    </w:p>
    <w:p w14:paraId="5F2B1144" w14:textId="77777777" w:rsidR="0010210A" w:rsidRPr="0010210A" w:rsidRDefault="0010210A" w:rsidP="0010210A">
      <w:pPr>
        <w:pStyle w:val="ListParagraph"/>
        <w:rPr>
          <w:sz w:val="20"/>
          <w:szCs w:val="20"/>
        </w:rPr>
      </w:pPr>
    </w:p>
    <w:p w14:paraId="08D47E0F" w14:textId="77777777" w:rsidR="0010210A" w:rsidRDefault="006006D6">
      <w:pPr>
        <w:pStyle w:val="ListParagraph"/>
        <w:numPr>
          <w:ilvl w:val="0"/>
          <w:numId w:val="29"/>
        </w:numPr>
        <w:jc w:val="both"/>
        <w:rPr>
          <w:sz w:val="20"/>
          <w:szCs w:val="20"/>
        </w:rPr>
      </w:pPr>
      <w:r w:rsidRPr="0010210A">
        <w:rPr>
          <w:sz w:val="20"/>
          <w:szCs w:val="20"/>
        </w:rPr>
        <w:t>Currently, there are no unified standards or methodologies in place to guide financial institutions in tracking and reporting green finance activities. This absence of a standardized framework leads to fragmented and inconsistent data, making it challenging to evaluate the impact of investments and align them with national climate priorities. Although the State Development Bank offers concessional funds to local banks, many financial institutions lack the internal capacity to access these resources effectively. This limits their ability to participate in green finance initiatives, stalling progress toward creating a robust green financial ecosystem.</w:t>
      </w:r>
    </w:p>
    <w:p w14:paraId="5AF4CB81" w14:textId="77777777" w:rsidR="0010210A" w:rsidRPr="0010210A" w:rsidRDefault="0010210A" w:rsidP="0010210A">
      <w:pPr>
        <w:pStyle w:val="ListParagraph"/>
        <w:rPr>
          <w:sz w:val="20"/>
          <w:szCs w:val="20"/>
        </w:rPr>
      </w:pPr>
    </w:p>
    <w:p w14:paraId="7ABAABDF" w14:textId="77777777" w:rsidR="0010210A" w:rsidRDefault="006006D6">
      <w:pPr>
        <w:pStyle w:val="ListParagraph"/>
        <w:numPr>
          <w:ilvl w:val="0"/>
          <w:numId w:val="29"/>
        </w:numPr>
        <w:jc w:val="both"/>
        <w:rPr>
          <w:sz w:val="20"/>
          <w:szCs w:val="20"/>
        </w:rPr>
      </w:pPr>
      <w:r w:rsidRPr="0010210A">
        <w:rPr>
          <w:sz w:val="20"/>
          <w:szCs w:val="20"/>
        </w:rPr>
        <w:t>The development of internal capacity within financial institutions is an essential step toward addressing this barrier. Initially, these capacities need not be overly sophisticated but should focus on foundational capabilities that enable banks to comply with basic green finance reporting requirements and access concessional funds. Gradually, as institutions build their expertise and resources, they can adopt more advanced practices that align with international standards, enhancing their ability to attract external funding. This phased approach will allow financial institutions to adapt without being overwhelmed, ensuring a sustainable and scalable transition to robust green finance practices.</w:t>
      </w:r>
    </w:p>
    <w:p w14:paraId="66608292" w14:textId="77777777" w:rsidR="0010210A" w:rsidRPr="0010210A" w:rsidRDefault="0010210A" w:rsidP="0010210A">
      <w:pPr>
        <w:pStyle w:val="ListParagraph"/>
        <w:rPr>
          <w:sz w:val="20"/>
          <w:szCs w:val="20"/>
        </w:rPr>
      </w:pPr>
    </w:p>
    <w:p w14:paraId="53D7879A" w14:textId="77777777" w:rsidR="0010210A" w:rsidRPr="0010210A" w:rsidRDefault="006006D6">
      <w:pPr>
        <w:pStyle w:val="ListParagraph"/>
        <w:numPr>
          <w:ilvl w:val="0"/>
          <w:numId w:val="29"/>
        </w:numPr>
        <w:jc w:val="both"/>
        <w:rPr>
          <w:b/>
          <w:bCs/>
          <w:sz w:val="20"/>
          <w:szCs w:val="20"/>
        </w:rPr>
      </w:pPr>
      <w:r w:rsidRPr="0010210A">
        <w:rPr>
          <w:sz w:val="20"/>
          <w:szCs w:val="20"/>
        </w:rPr>
        <w:t>Ultimately, addressing this barrier will create a solid foundation for the financial sector to play a pivotal role in mobilizing resources for green and climate projects. By equipping financial institutions with the necessary tools and skills, Kyrgyzstan can unlock significant opportunities for green finance, supporting its transition to a sustainable and climate-resilient economy. The gradual enhancement of capacity within financial institutions will ensure that green finance becomes an integral part of their operations, driving long-term impact and aligning with national and global climate objectives.</w:t>
      </w:r>
    </w:p>
    <w:p w14:paraId="0E7A108A" w14:textId="77777777" w:rsidR="0010210A" w:rsidRPr="0010210A" w:rsidRDefault="0010210A" w:rsidP="0010210A">
      <w:pPr>
        <w:pStyle w:val="ListParagraph"/>
        <w:rPr>
          <w:b/>
          <w:bCs/>
          <w:sz w:val="20"/>
          <w:szCs w:val="20"/>
        </w:rPr>
      </w:pPr>
    </w:p>
    <w:p w14:paraId="7D0BE18F" w14:textId="6228378C" w:rsidR="00D15FF1" w:rsidRDefault="00D15FF1">
      <w:pPr>
        <w:pStyle w:val="ListParagraph"/>
        <w:numPr>
          <w:ilvl w:val="0"/>
          <w:numId w:val="29"/>
        </w:numPr>
        <w:jc w:val="both"/>
        <w:rPr>
          <w:sz w:val="20"/>
          <w:szCs w:val="20"/>
        </w:rPr>
      </w:pPr>
      <w:r w:rsidRPr="00D15FF1">
        <w:rPr>
          <w:b/>
          <w:bCs/>
          <w:sz w:val="20"/>
          <w:szCs w:val="20"/>
        </w:rPr>
        <w:t xml:space="preserve">Barrier 3. </w:t>
      </w:r>
      <w:r w:rsidR="006006D6" w:rsidRPr="00D15FF1">
        <w:rPr>
          <w:b/>
          <w:bCs/>
          <w:sz w:val="20"/>
          <w:szCs w:val="20"/>
        </w:rPr>
        <w:t>The discrepancy between the current green finance supply and the demand for green products</w:t>
      </w:r>
      <w:r w:rsidR="001C27AE" w:rsidRPr="00D15FF1">
        <w:rPr>
          <w:b/>
          <w:bCs/>
          <w:sz w:val="20"/>
          <w:szCs w:val="20"/>
        </w:rPr>
        <w:t xml:space="preserve">. </w:t>
      </w:r>
      <w:r w:rsidR="006006D6" w:rsidRPr="00D15FF1">
        <w:rPr>
          <w:sz w:val="20"/>
          <w:szCs w:val="20"/>
        </w:rPr>
        <w:t xml:space="preserve">While there is a clear need for green investments, the existing financial ecosystem struggles to provide adequate instruments and mechanisms to meet the escalating demand. Currently, the supply of green finance in Kyrgyzstan is constrained by several factors, including limited product offerings by financial institutions and a lack of specialized financing instruments tailored to the needs of green projects. </w:t>
      </w:r>
      <w:r w:rsidRPr="00D15FF1">
        <w:rPr>
          <w:sz w:val="20"/>
          <w:szCs w:val="20"/>
        </w:rPr>
        <w:t>Most</w:t>
      </w:r>
      <w:r w:rsidR="006006D6" w:rsidRPr="00D15FF1">
        <w:rPr>
          <w:sz w:val="20"/>
          <w:szCs w:val="20"/>
        </w:rPr>
        <w:t xml:space="preserve"> financial institutions lack the capacity to design and roll out green financial products that cater to the specific requirements of businesses and sectors seeking to implement green initiatives. </w:t>
      </w:r>
    </w:p>
    <w:p w14:paraId="4BD913EC" w14:textId="77777777" w:rsidR="00D15FF1" w:rsidRPr="00D15FF1" w:rsidRDefault="00D15FF1" w:rsidP="00D15FF1">
      <w:pPr>
        <w:pStyle w:val="ListParagraph"/>
        <w:rPr>
          <w:sz w:val="20"/>
          <w:szCs w:val="20"/>
        </w:rPr>
      </w:pPr>
    </w:p>
    <w:p w14:paraId="5BD76676" w14:textId="77777777" w:rsidR="00D15FF1" w:rsidRDefault="006006D6">
      <w:pPr>
        <w:pStyle w:val="ListParagraph"/>
        <w:numPr>
          <w:ilvl w:val="0"/>
          <w:numId w:val="29"/>
        </w:numPr>
        <w:jc w:val="both"/>
        <w:rPr>
          <w:sz w:val="20"/>
          <w:szCs w:val="20"/>
        </w:rPr>
      </w:pPr>
      <w:r w:rsidRPr="00D15FF1">
        <w:rPr>
          <w:sz w:val="20"/>
          <w:szCs w:val="20"/>
        </w:rPr>
        <w:t xml:space="preserve">On the demand side, businesses and project developers often face challenges in accessing available green financing due to stringent eligibility criteria, high interest rates, and limited awareness of financing opportunities. Many potential </w:t>
      </w:r>
      <w:r w:rsidR="00D15FF1" w:rsidRPr="00D15FF1">
        <w:rPr>
          <w:sz w:val="20"/>
          <w:szCs w:val="20"/>
        </w:rPr>
        <w:t>beneficiaries</w:t>
      </w:r>
      <w:r w:rsidRPr="00D15FF1">
        <w:rPr>
          <w:sz w:val="20"/>
          <w:szCs w:val="20"/>
        </w:rPr>
        <w:t xml:space="preserve"> lack the technical expertise to develop bankable green projects or meet the complex requirements of financial institutions. This gap exacerbates the disconnect between the availability of green finance and the needs of those seeking to implement sustainable projects.</w:t>
      </w:r>
    </w:p>
    <w:p w14:paraId="7182B187" w14:textId="77777777" w:rsidR="00D15FF1" w:rsidRPr="00D15FF1" w:rsidRDefault="00D15FF1" w:rsidP="00D15FF1">
      <w:pPr>
        <w:pStyle w:val="ListParagraph"/>
        <w:rPr>
          <w:sz w:val="20"/>
          <w:szCs w:val="20"/>
        </w:rPr>
      </w:pPr>
    </w:p>
    <w:p w14:paraId="01C38CE9" w14:textId="77777777" w:rsidR="00D15FF1" w:rsidRDefault="006006D6">
      <w:pPr>
        <w:pStyle w:val="ListParagraph"/>
        <w:numPr>
          <w:ilvl w:val="0"/>
          <w:numId w:val="29"/>
        </w:numPr>
        <w:jc w:val="both"/>
        <w:rPr>
          <w:sz w:val="20"/>
          <w:szCs w:val="20"/>
        </w:rPr>
      </w:pPr>
      <w:r w:rsidRPr="00D15FF1">
        <w:rPr>
          <w:sz w:val="20"/>
          <w:szCs w:val="20"/>
        </w:rPr>
        <w:t xml:space="preserve">The recent establishment of the State Development Bank's concessional funding mechanisms offers a valuable opportunity to bridge this gap. However, many financial institutions are not yet equipped to channel these funds effectively to green projects. Addressing this requires targeted capacity-building efforts to enable banks to identify, evaluate, and finance green projects while creating tailored products that align with market demand. Furthermore, strengthening collaboration </w:t>
      </w:r>
      <w:r w:rsidRPr="00D15FF1">
        <w:rPr>
          <w:sz w:val="20"/>
          <w:szCs w:val="20"/>
        </w:rPr>
        <w:lastRenderedPageBreak/>
        <w:t>between the public and private sectors is essential to scale up the supply of green financial products.</w:t>
      </w:r>
    </w:p>
    <w:p w14:paraId="46016E48" w14:textId="77777777" w:rsidR="00D15FF1" w:rsidRPr="00D15FF1" w:rsidRDefault="00D15FF1" w:rsidP="00D15FF1">
      <w:pPr>
        <w:pStyle w:val="ListParagraph"/>
        <w:rPr>
          <w:sz w:val="20"/>
          <w:szCs w:val="20"/>
        </w:rPr>
      </w:pPr>
    </w:p>
    <w:p w14:paraId="5CC529F9" w14:textId="77777777" w:rsidR="00D15FF1" w:rsidRPr="00D15FF1" w:rsidRDefault="006006D6">
      <w:pPr>
        <w:pStyle w:val="ListParagraph"/>
        <w:numPr>
          <w:ilvl w:val="0"/>
          <w:numId w:val="29"/>
        </w:numPr>
        <w:jc w:val="both"/>
        <w:rPr>
          <w:b/>
          <w:bCs/>
          <w:sz w:val="20"/>
          <w:szCs w:val="20"/>
        </w:rPr>
      </w:pPr>
      <w:r w:rsidRPr="00D15FF1">
        <w:rPr>
          <w:sz w:val="20"/>
          <w:szCs w:val="20"/>
        </w:rPr>
        <w:t>Efforts to close the supply-demand gap must also focus on fostering market confidence and encouraging private sector participation. Simultaneously, raising awareness among businesses and individuals about the benefits and opportunities of green finance will help generate demand for these products, creating a cycle of supply and uptake.</w:t>
      </w:r>
    </w:p>
    <w:p w14:paraId="12E812D2" w14:textId="77777777" w:rsidR="00D15FF1" w:rsidRPr="00D15FF1" w:rsidRDefault="00D15FF1" w:rsidP="00D15FF1">
      <w:pPr>
        <w:pStyle w:val="ListParagraph"/>
        <w:rPr>
          <w:b/>
          <w:bCs/>
          <w:sz w:val="20"/>
          <w:szCs w:val="20"/>
        </w:rPr>
      </w:pPr>
    </w:p>
    <w:p w14:paraId="5A4E8276" w14:textId="7CDC786E" w:rsidR="00850C4C" w:rsidRDefault="00D15FF1">
      <w:pPr>
        <w:pStyle w:val="ListParagraph"/>
        <w:numPr>
          <w:ilvl w:val="0"/>
          <w:numId w:val="29"/>
        </w:numPr>
        <w:jc w:val="both"/>
        <w:rPr>
          <w:sz w:val="20"/>
          <w:szCs w:val="20"/>
        </w:rPr>
      </w:pPr>
      <w:r w:rsidRPr="00850C4C">
        <w:rPr>
          <w:b/>
          <w:bCs/>
          <w:sz w:val="20"/>
          <w:szCs w:val="20"/>
        </w:rPr>
        <w:t xml:space="preserve">Barrier </w:t>
      </w:r>
      <w:r w:rsidR="00850C4C">
        <w:rPr>
          <w:b/>
          <w:bCs/>
          <w:sz w:val="20"/>
          <w:szCs w:val="20"/>
        </w:rPr>
        <w:t>4</w:t>
      </w:r>
      <w:r w:rsidRPr="00850C4C">
        <w:rPr>
          <w:b/>
          <w:bCs/>
          <w:sz w:val="20"/>
          <w:szCs w:val="20"/>
        </w:rPr>
        <w:t xml:space="preserve">. </w:t>
      </w:r>
      <w:r w:rsidR="006006D6" w:rsidRPr="00850C4C">
        <w:rPr>
          <w:b/>
          <w:bCs/>
          <w:sz w:val="20"/>
          <w:szCs w:val="20"/>
        </w:rPr>
        <w:t>Absence of incentives for financial institutions to promote green finance products</w:t>
      </w:r>
      <w:r w:rsidR="001C27AE" w:rsidRPr="00850C4C">
        <w:rPr>
          <w:b/>
          <w:bCs/>
          <w:sz w:val="20"/>
          <w:szCs w:val="20"/>
        </w:rPr>
        <w:t xml:space="preserve">. </w:t>
      </w:r>
      <w:r w:rsidR="006006D6" w:rsidRPr="00850C4C">
        <w:rPr>
          <w:sz w:val="20"/>
          <w:szCs w:val="20"/>
        </w:rPr>
        <w:t>The absence of targeted incentives for financial institutions to promote green finance products represents a critical bottleneck in Kyrgyzstan’s, especially at the early stages of green finance market development. While fiscal incentives and concessional financing mechanisms currently focus on borrowers—such as subsidies for green equipment or tax exemptions for eco-friendly initiatives—there are no similar provisions to motivate financial institutions. This lack of support leaves banks and financial institutions with limited space to actively engage in or expand their green finance portfolios. A comprehensive approach is needed to address this imbalance, stimulating both the demand and supply sides of green finance.</w:t>
      </w:r>
    </w:p>
    <w:p w14:paraId="10EFD1D8" w14:textId="77777777" w:rsidR="00850C4C" w:rsidRPr="00850C4C" w:rsidRDefault="00850C4C" w:rsidP="00850C4C">
      <w:pPr>
        <w:pStyle w:val="ListParagraph"/>
        <w:rPr>
          <w:sz w:val="20"/>
          <w:szCs w:val="20"/>
        </w:rPr>
      </w:pPr>
    </w:p>
    <w:p w14:paraId="5C7094D6" w14:textId="77777777" w:rsidR="00850C4C" w:rsidRDefault="006006D6">
      <w:pPr>
        <w:pStyle w:val="ListParagraph"/>
        <w:numPr>
          <w:ilvl w:val="0"/>
          <w:numId w:val="29"/>
        </w:numPr>
        <w:jc w:val="both"/>
        <w:rPr>
          <w:sz w:val="20"/>
          <w:szCs w:val="20"/>
        </w:rPr>
      </w:pPr>
      <w:r w:rsidRPr="00850C4C">
        <w:rPr>
          <w:sz w:val="20"/>
          <w:szCs w:val="20"/>
        </w:rPr>
        <w:t>Green finance transactions are inherently more complex and resource-intensive than standard lending due to the additional expertise required in project verification, validation, and reporting. These steps are critical to ensuring transparency and preventing greenwashing, which can erode trust in green finance initiatives. However, these transactional costs are often borne by financial institutions, deterring them from offering green finance products on a broader scale. Without adequate incentives to offset these additional costs, financial institutions are less likely to integrate green finance into their core operations.</w:t>
      </w:r>
    </w:p>
    <w:p w14:paraId="660AB101" w14:textId="77777777" w:rsidR="00850C4C" w:rsidRPr="00850C4C" w:rsidRDefault="00850C4C" w:rsidP="00850C4C">
      <w:pPr>
        <w:pStyle w:val="ListParagraph"/>
        <w:rPr>
          <w:sz w:val="20"/>
          <w:szCs w:val="20"/>
        </w:rPr>
      </w:pPr>
    </w:p>
    <w:p w14:paraId="3FEF953A" w14:textId="77777777" w:rsidR="00850C4C" w:rsidRDefault="006006D6">
      <w:pPr>
        <w:pStyle w:val="ListParagraph"/>
        <w:numPr>
          <w:ilvl w:val="0"/>
          <w:numId w:val="29"/>
        </w:numPr>
        <w:jc w:val="both"/>
        <w:rPr>
          <w:sz w:val="20"/>
          <w:szCs w:val="20"/>
        </w:rPr>
      </w:pPr>
      <w:r w:rsidRPr="00850C4C">
        <w:rPr>
          <w:sz w:val="20"/>
          <w:szCs w:val="20"/>
        </w:rPr>
        <w:t>The NBKR plays a pivotal role in regulating the financial sector, yet its conservative stance on maintaining financial stability has resulted in limited regulatory innovation for green finance. While the cautious approach of the NBKR ensures macroeconomic stability. Currently, only the most advanced institutions, often with strong commitments to corporate social responsibility, are engaging in green finance. This leaves a large portion of the financial sector unable to tap into these opportunities, underscoring the need for gradual capacity building supported by targeted incentives.</w:t>
      </w:r>
    </w:p>
    <w:p w14:paraId="653CB905" w14:textId="77777777" w:rsidR="00850C4C" w:rsidRPr="00850C4C" w:rsidRDefault="00850C4C" w:rsidP="00850C4C">
      <w:pPr>
        <w:pStyle w:val="ListParagraph"/>
        <w:rPr>
          <w:sz w:val="20"/>
          <w:szCs w:val="20"/>
        </w:rPr>
      </w:pPr>
    </w:p>
    <w:p w14:paraId="74D89E7B" w14:textId="77777777" w:rsidR="00850C4C" w:rsidRDefault="006006D6">
      <w:pPr>
        <w:pStyle w:val="ListParagraph"/>
        <w:numPr>
          <w:ilvl w:val="0"/>
          <w:numId w:val="29"/>
        </w:numPr>
        <w:jc w:val="both"/>
        <w:rPr>
          <w:sz w:val="20"/>
          <w:szCs w:val="20"/>
        </w:rPr>
      </w:pPr>
      <w:r w:rsidRPr="00850C4C">
        <w:rPr>
          <w:sz w:val="20"/>
          <w:szCs w:val="20"/>
        </w:rPr>
        <w:t>Furthermore, with the adoption of Kyrgyzstan’s green taxonomy, financial institutions must have clear guidelines and classifications to standardize what constitutes a green project. This classification is essential not only for transparency and avoiding greenwashing but also for ensuring that projects align with national priorities and international standards. By incentivizing financial institutions to adopt these classifications and integrate green finance into their portfolios, Kyrgyzstan can create a more robust and accountable green finance ecosystem. Such measures will also enhance the ability of financial institutions to attract external funding, enabling them to play a pivotal role in achieving the country’s climate commitments and fostering long-term sustainability.</w:t>
      </w:r>
    </w:p>
    <w:p w14:paraId="3544C706" w14:textId="77777777" w:rsidR="00850C4C" w:rsidRPr="00850C4C" w:rsidRDefault="00850C4C" w:rsidP="00850C4C">
      <w:pPr>
        <w:pStyle w:val="ListParagraph"/>
        <w:rPr>
          <w:b/>
          <w:bCs/>
          <w:sz w:val="20"/>
          <w:szCs w:val="20"/>
        </w:rPr>
      </w:pPr>
    </w:p>
    <w:p w14:paraId="0CF69676" w14:textId="77777777" w:rsidR="00850C4C" w:rsidRDefault="00850C4C">
      <w:pPr>
        <w:pStyle w:val="ListParagraph"/>
        <w:numPr>
          <w:ilvl w:val="0"/>
          <w:numId w:val="29"/>
        </w:numPr>
        <w:jc w:val="both"/>
        <w:rPr>
          <w:sz w:val="20"/>
          <w:szCs w:val="20"/>
        </w:rPr>
      </w:pPr>
      <w:r w:rsidRPr="00850C4C">
        <w:rPr>
          <w:b/>
          <w:bCs/>
          <w:sz w:val="20"/>
          <w:szCs w:val="20"/>
        </w:rPr>
        <w:t xml:space="preserve">Barrier 5. </w:t>
      </w:r>
      <w:r w:rsidR="006006D6" w:rsidRPr="00850C4C">
        <w:rPr>
          <w:b/>
          <w:bCs/>
          <w:sz w:val="20"/>
          <w:szCs w:val="20"/>
        </w:rPr>
        <w:t>Limited knowledge of financial institutions to access green finance for private sector</w:t>
      </w:r>
      <w:r w:rsidR="001C27AE" w:rsidRPr="00850C4C">
        <w:rPr>
          <w:sz w:val="20"/>
          <w:szCs w:val="20"/>
        </w:rPr>
        <w:t xml:space="preserve">. </w:t>
      </w:r>
      <w:r w:rsidR="006006D6" w:rsidRPr="00850C4C">
        <w:rPr>
          <w:sz w:val="20"/>
          <w:szCs w:val="20"/>
        </w:rPr>
        <w:t>The limited knowledge of financial institutions in Kyrgyzstan regarding access to green finance for the private sector presents a notable challenge in advancing the green finance agenda. While there are international funding opportunities available through mechanisms such as the Green Climate Fund and other multilateral institutions, financial institutions often lack a clear and comprehensive understanding of these funding landscapes. This includes not only the financial terms but also the specific internal adjustments required to meet eligibility criteria.</w:t>
      </w:r>
    </w:p>
    <w:p w14:paraId="6AF6EA62" w14:textId="77777777" w:rsidR="00850C4C" w:rsidRPr="00850C4C" w:rsidRDefault="00850C4C" w:rsidP="00850C4C">
      <w:pPr>
        <w:pStyle w:val="ListParagraph"/>
        <w:rPr>
          <w:sz w:val="20"/>
          <w:szCs w:val="20"/>
        </w:rPr>
      </w:pPr>
    </w:p>
    <w:p w14:paraId="0449DCFC" w14:textId="77777777" w:rsidR="00850C4C" w:rsidRDefault="006006D6">
      <w:pPr>
        <w:pStyle w:val="ListParagraph"/>
        <w:numPr>
          <w:ilvl w:val="0"/>
          <w:numId w:val="29"/>
        </w:numPr>
        <w:jc w:val="both"/>
        <w:rPr>
          <w:sz w:val="20"/>
          <w:szCs w:val="20"/>
        </w:rPr>
      </w:pPr>
      <w:r w:rsidRPr="00850C4C">
        <w:rPr>
          <w:sz w:val="20"/>
          <w:szCs w:val="20"/>
        </w:rPr>
        <w:t>Currently, banks operate with a fragmented understanding of the requirements for engaging with climate and green funding sources. They often face difficulties in navigating the necessary processes, including documentation, monitoring, and reporting. This lack of clarity extends to guiding private sector clients on how to leverage green finance opportunities effectively, limiting the ability of financial institutions to act as enablers for sustainable initiatives.</w:t>
      </w:r>
    </w:p>
    <w:p w14:paraId="20AF57B6" w14:textId="77777777" w:rsidR="00850C4C" w:rsidRPr="00850C4C" w:rsidRDefault="00850C4C" w:rsidP="00850C4C">
      <w:pPr>
        <w:pStyle w:val="ListParagraph"/>
        <w:rPr>
          <w:sz w:val="20"/>
          <w:szCs w:val="20"/>
        </w:rPr>
      </w:pPr>
    </w:p>
    <w:p w14:paraId="6D6DEC9E" w14:textId="77777777" w:rsidR="00850C4C" w:rsidRDefault="006006D6">
      <w:pPr>
        <w:pStyle w:val="ListParagraph"/>
        <w:numPr>
          <w:ilvl w:val="0"/>
          <w:numId w:val="29"/>
        </w:numPr>
        <w:jc w:val="both"/>
        <w:rPr>
          <w:sz w:val="20"/>
          <w:szCs w:val="20"/>
        </w:rPr>
      </w:pPr>
      <w:r w:rsidRPr="00850C4C">
        <w:rPr>
          <w:sz w:val="20"/>
          <w:szCs w:val="20"/>
        </w:rPr>
        <w:lastRenderedPageBreak/>
        <w:t>Another key issue is the limited capacity of financial institutions to develop bankable green project proposals. Successful applications for international green finance often require specialized expertise in areas such as environmental and social criteria, risk assessment, and alignment with global climate goals. These skills are not widely available within Kyrgyzstan’s banking sector, which reduces the likelihood of securing funding for private sector projects that could support the country’s green agenda.</w:t>
      </w:r>
    </w:p>
    <w:p w14:paraId="2D1B4EC7" w14:textId="77777777" w:rsidR="00850C4C" w:rsidRPr="00850C4C" w:rsidRDefault="00850C4C" w:rsidP="00850C4C">
      <w:pPr>
        <w:pStyle w:val="ListParagraph"/>
        <w:rPr>
          <w:sz w:val="20"/>
          <w:szCs w:val="20"/>
        </w:rPr>
      </w:pPr>
    </w:p>
    <w:p w14:paraId="1945ABBE" w14:textId="77777777" w:rsidR="00850C4C" w:rsidRDefault="006006D6">
      <w:pPr>
        <w:pStyle w:val="ListParagraph"/>
        <w:numPr>
          <w:ilvl w:val="0"/>
          <w:numId w:val="29"/>
        </w:numPr>
        <w:jc w:val="both"/>
        <w:rPr>
          <w:sz w:val="20"/>
          <w:szCs w:val="20"/>
        </w:rPr>
      </w:pPr>
      <w:r w:rsidRPr="00850C4C">
        <w:rPr>
          <w:sz w:val="20"/>
          <w:szCs w:val="20"/>
        </w:rPr>
        <w:t>Additionally, financial institutions have yet to adapt their internal operations to meet the requirements of international green finance providers. Changes such as updating risk assessment frameworks, creating dedicated teams, or adopting green finance policies are often not prioritized due to limited understanding of their significance. This misalignment restricts banks’ ability to act as effective intermediaries between international funding sources and the private sector.</w:t>
      </w:r>
    </w:p>
    <w:p w14:paraId="20DA558B" w14:textId="77777777" w:rsidR="00850C4C" w:rsidRPr="00850C4C" w:rsidRDefault="00850C4C" w:rsidP="00850C4C">
      <w:pPr>
        <w:pStyle w:val="ListParagraph"/>
        <w:rPr>
          <w:sz w:val="20"/>
          <w:szCs w:val="20"/>
        </w:rPr>
      </w:pPr>
    </w:p>
    <w:p w14:paraId="0C607E1A" w14:textId="77777777" w:rsidR="00850C4C" w:rsidRDefault="006006D6">
      <w:pPr>
        <w:pStyle w:val="ListParagraph"/>
        <w:numPr>
          <w:ilvl w:val="0"/>
          <w:numId w:val="29"/>
        </w:numPr>
        <w:jc w:val="both"/>
        <w:rPr>
          <w:sz w:val="20"/>
          <w:szCs w:val="20"/>
        </w:rPr>
      </w:pPr>
      <w:r w:rsidRPr="00850C4C">
        <w:rPr>
          <w:sz w:val="20"/>
          <w:szCs w:val="20"/>
        </w:rPr>
        <w:t>Addressing these challenges will require targeted capacity-building efforts. Financial institutions need support to understand the operational and technical requirements for accessing international green finance, as well as practical guidance on aligning their internal processes with these standards. Simplified tools, such as templates for green project proposals and step-by-step guides, could also help banks better navigate the application process and engage with private sector clients more effectively.</w:t>
      </w:r>
    </w:p>
    <w:p w14:paraId="6CD25EC5" w14:textId="77777777" w:rsidR="00850C4C" w:rsidRPr="00850C4C" w:rsidRDefault="00850C4C" w:rsidP="00850C4C">
      <w:pPr>
        <w:pStyle w:val="ListParagraph"/>
        <w:rPr>
          <w:sz w:val="20"/>
          <w:szCs w:val="20"/>
        </w:rPr>
      </w:pPr>
    </w:p>
    <w:p w14:paraId="4AB1AE2B" w14:textId="7D38F01D" w:rsidR="005939A0" w:rsidRDefault="006006D6">
      <w:pPr>
        <w:pStyle w:val="ListParagraph"/>
        <w:numPr>
          <w:ilvl w:val="0"/>
          <w:numId w:val="29"/>
        </w:numPr>
        <w:jc w:val="both"/>
        <w:rPr>
          <w:sz w:val="20"/>
          <w:szCs w:val="20"/>
        </w:rPr>
      </w:pPr>
      <w:r w:rsidRPr="00850C4C">
        <w:rPr>
          <w:sz w:val="20"/>
          <w:szCs w:val="20"/>
        </w:rPr>
        <w:t>Building the capacity of financial institutions to access green finance will strengthen their role in mobilizing resources for the private sector. This, in turn, will enable the development of more sustainable business practices and contribute to Kyrgyzstan’s broader climate and development goals in a practical and results-oriented manner.</w:t>
      </w:r>
    </w:p>
    <w:p w14:paraId="01103166" w14:textId="77777777" w:rsidR="00850C4C" w:rsidRPr="00850C4C" w:rsidRDefault="00850C4C" w:rsidP="00850C4C">
      <w:pPr>
        <w:pStyle w:val="ListParagraph"/>
        <w:rPr>
          <w:rStyle w:val="DefaultText"/>
          <w:rFonts w:cstheme="minorBidi"/>
          <w:color w:val="auto"/>
        </w:rPr>
      </w:pPr>
    </w:p>
    <w:p w14:paraId="287EFAE8" w14:textId="05B87A3A" w:rsidR="00ED19D6" w:rsidRDefault="00F97840" w:rsidP="00163FD5">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Problem statement</w:t>
      </w:r>
      <w:r w:rsidR="00816E86">
        <w:rPr>
          <w:b/>
          <w:color w:val="276E8B" w:themeColor="accent1" w:themeShade="BF"/>
        </w:rPr>
        <w:t xml:space="preserve"> </w:t>
      </w:r>
    </w:p>
    <w:p w14:paraId="0217AB0D" w14:textId="77777777" w:rsidR="00E84419" w:rsidRPr="00834EF3" w:rsidRDefault="00E84419" w:rsidP="00E84419">
      <w:pPr>
        <w:pStyle w:val="ListParagraph"/>
        <w:tabs>
          <w:tab w:val="left" w:pos="720"/>
          <w:tab w:val="left" w:pos="7200"/>
        </w:tabs>
        <w:ind w:left="360"/>
        <w:rPr>
          <w:rStyle w:val="DefaultText"/>
          <w:rFonts w:cstheme="minorBidi"/>
          <w:b/>
          <w:color w:val="276E8B" w:themeColor="accent1" w:themeShade="BF"/>
          <w:sz w:val="22"/>
          <w:szCs w:val="22"/>
        </w:rPr>
      </w:pPr>
    </w:p>
    <w:p w14:paraId="759E5CEB" w14:textId="05B2F3FB" w:rsidR="0081422B" w:rsidRPr="00E84419" w:rsidRDefault="00834EF3" w:rsidP="00E84419">
      <w:pPr>
        <w:pStyle w:val="ListParagraph"/>
        <w:numPr>
          <w:ilvl w:val="0"/>
          <w:numId w:val="29"/>
        </w:numPr>
        <w:tabs>
          <w:tab w:val="left" w:pos="4606"/>
        </w:tabs>
        <w:spacing w:before="120" w:after="120" w:line="240" w:lineRule="auto"/>
        <w:ind w:right="-29"/>
        <w:jc w:val="both"/>
        <w:rPr>
          <w:rStyle w:val="DefaultText"/>
          <w:color w:val="auto"/>
        </w:rPr>
      </w:pPr>
      <w:r w:rsidRPr="00E84419">
        <w:rPr>
          <w:rStyle w:val="DefaultText"/>
          <w:color w:val="auto"/>
        </w:rPr>
        <w:t xml:space="preserve">While the government has shown strong commitment to advancing the green and climate agenda through catalytic funding allocations, the financial sector currently lacks the capacity to efficiently channel these funds to beneficiaries and financial institutions. Furthermore, the broader institutional framework, including verification, validation, and reporting systems, remains underdeveloped, limiting its effectiveness in supporting these processes. Existing national regulations also fail to provide sufficient incentives for financial institutions to mobilize and extend green financing. Coupled with the limited capacity of financial institutions to mobilize such finance, this creates a reinforcing cycle of underperformance. This project aims to break this cycle by addressing these challenges </w:t>
      </w:r>
      <w:r w:rsidR="0094017C" w:rsidRPr="00E84419">
        <w:rPr>
          <w:rStyle w:val="DefaultText"/>
          <w:color w:val="auto"/>
        </w:rPr>
        <w:t>holistically enhancing</w:t>
      </w:r>
      <w:r w:rsidRPr="00E84419">
        <w:rPr>
          <w:rStyle w:val="DefaultText"/>
          <w:color w:val="auto"/>
        </w:rPr>
        <w:t xml:space="preserve"> the capacity of all relevant stakeholders, ensuring the efficient deployment of public funds, catalyzing additional private sector resources, and strengthening the enabling environment to achieve lasting sustainability and impact.</w:t>
      </w:r>
    </w:p>
    <w:p w14:paraId="1AE0E198" w14:textId="77777777" w:rsidR="006726D7" w:rsidRPr="006726D7" w:rsidRDefault="006726D7" w:rsidP="0081422B">
      <w:pPr>
        <w:tabs>
          <w:tab w:val="left" w:pos="4606"/>
        </w:tabs>
        <w:spacing w:before="120" w:after="120" w:line="240" w:lineRule="auto"/>
        <w:ind w:right="-29"/>
        <w:jc w:val="both"/>
        <w:rPr>
          <w:rStyle w:val="DefaultText"/>
          <w:color w:val="auto"/>
          <w:sz w:val="10"/>
          <w:szCs w:val="10"/>
        </w:rPr>
      </w:pPr>
    </w:p>
    <w:p w14:paraId="059C67DB" w14:textId="77777777" w:rsidR="007A1419" w:rsidRPr="00AF3539" w:rsidRDefault="007A1419" w:rsidP="007A1419">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Beneficiaries</w:t>
      </w:r>
      <w:r>
        <w:rPr>
          <w:b/>
          <w:color w:val="276E8B" w:themeColor="accent1" w:themeShade="BF"/>
        </w:rPr>
        <w:t xml:space="preserve"> </w:t>
      </w:r>
    </w:p>
    <w:p w14:paraId="7F8ABBEA" w14:textId="4CDB72F9" w:rsidR="00FE4E76" w:rsidRPr="00E84419" w:rsidRDefault="00FE4E76" w:rsidP="00E84419">
      <w:pPr>
        <w:spacing w:before="120" w:after="120" w:line="240" w:lineRule="auto"/>
        <w:jc w:val="both"/>
        <w:rPr>
          <w:rStyle w:val="DefaultText"/>
          <w:b/>
          <w:bCs/>
          <w:color w:val="auto"/>
        </w:rPr>
      </w:pPr>
      <w:r w:rsidRPr="00E84419">
        <w:rPr>
          <w:rStyle w:val="DefaultText"/>
          <w:b/>
          <w:bCs/>
          <w:color w:val="auto"/>
        </w:rPr>
        <w:t>Direct Beneficiaries:</w:t>
      </w:r>
    </w:p>
    <w:tbl>
      <w:tblPr>
        <w:tblStyle w:val="TableGrid"/>
        <w:tblW w:w="0" w:type="auto"/>
        <w:tblLook w:val="04A0" w:firstRow="1" w:lastRow="0" w:firstColumn="1" w:lastColumn="0" w:noHBand="0" w:noVBand="1"/>
      </w:tblPr>
      <w:tblGrid>
        <w:gridCol w:w="2965"/>
        <w:gridCol w:w="6052"/>
      </w:tblGrid>
      <w:tr w:rsidR="00FE4E76" w14:paraId="0799E4DF" w14:textId="77777777" w:rsidTr="00834EF3">
        <w:tc>
          <w:tcPr>
            <w:tcW w:w="2965" w:type="dxa"/>
          </w:tcPr>
          <w:p w14:paraId="25E9146C" w14:textId="308CC706" w:rsidR="00FE4E76" w:rsidRDefault="00FE4E76" w:rsidP="00FE4E76">
            <w:pPr>
              <w:spacing w:before="120" w:after="120"/>
              <w:jc w:val="both"/>
              <w:rPr>
                <w:rStyle w:val="DefaultText"/>
                <w:b/>
                <w:bCs/>
                <w:color w:val="auto"/>
              </w:rPr>
            </w:pPr>
            <w:r w:rsidRPr="00FE4E76">
              <w:rPr>
                <w:rStyle w:val="DefaultText"/>
                <w:b/>
                <w:bCs/>
                <w:color w:val="auto"/>
              </w:rPr>
              <w:t>Government</w:t>
            </w:r>
          </w:p>
        </w:tc>
        <w:tc>
          <w:tcPr>
            <w:tcW w:w="6052" w:type="dxa"/>
          </w:tcPr>
          <w:p w14:paraId="4F12B7C9" w14:textId="77777777" w:rsidR="00FE4E76" w:rsidRDefault="00FE4E76" w:rsidP="00163FD5">
            <w:pPr>
              <w:pStyle w:val="ListParagraph"/>
              <w:numPr>
                <w:ilvl w:val="0"/>
                <w:numId w:val="19"/>
              </w:numPr>
              <w:spacing w:before="120" w:after="120"/>
              <w:rPr>
                <w:rStyle w:val="DefaultText"/>
                <w:color w:val="auto"/>
              </w:rPr>
            </w:pPr>
            <w:r w:rsidRPr="00FE4E76">
              <w:rPr>
                <w:rStyle w:val="DefaultText"/>
                <w:color w:val="auto"/>
              </w:rPr>
              <w:t>Ministry of Natural Resources, Ecology and Technical Supervision</w:t>
            </w:r>
          </w:p>
          <w:p w14:paraId="3A8A9248" w14:textId="77777777"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Ministry of Economy and Commerce</w:t>
            </w:r>
          </w:p>
          <w:p w14:paraId="6A4F9162" w14:textId="77777777"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National Bank of the Kyrgyz Republic</w:t>
            </w:r>
          </w:p>
          <w:p w14:paraId="73000F17" w14:textId="77777777"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State Customs Service</w:t>
            </w:r>
          </w:p>
          <w:p w14:paraId="27C27F12" w14:textId="77777777"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State Tax Service</w:t>
            </w:r>
          </w:p>
          <w:p w14:paraId="3CE5500D" w14:textId="77777777"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Center for Climate Finance</w:t>
            </w:r>
          </w:p>
          <w:p w14:paraId="79C14C52" w14:textId="39BAB710"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State Development Bank</w:t>
            </w:r>
          </w:p>
        </w:tc>
      </w:tr>
      <w:tr w:rsidR="00FE4E76" w14:paraId="7EBE7684" w14:textId="77777777" w:rsidTr="00834EF3">
        <w:tc>
          <w:tcPr>
            <w:tcW w:w="2965" w:type="dxa"/>
          </w:tcPr>
          <w:p w14:paraId="35EDF4E3" w14:textId="70DFEA22" w:rsidR="00FE4E76" w:rsidRDefault="00FE4E76" w:rsidP="00FE4E76">
            <w:pPr>
              <w:spacing w:before="120" w:after="120"/>
              <w:jc w:val="both"/>
              <w:rPr>
                <w:rStyle w:val="DefaultText"/>
                <w:b/>
                <w:bCs/>
                <w:color w:val="auto"/>
              </w:rPr>
            </w:pPr>
            <w:r w:rsidRPr="00FE4E76">
              <w:rPr>
                <w:rStyle w:val="DefaultText"/>
                <w:b/>
                <w:bCs/>
                <w:color w:val="auto"/>
              </w:rPr>
              <w:t>Private Sector</w:t>
            </w:r>
          </w:p>
        </w:tc>
        <w:tc>
          <w:tcPr>
            <w:tcW w:w="6052" w:type="dxa"/>
          </w:tcPr>
          <w:p w14:paraId="6BA46857" w14:textId="77777777"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Targeted Financial Institutions</w:t>
            </w:r>
          </w:p>
          <w:p w14:paraId="04D872F3" w14:textId="74DB6F5C" w:rsidR="00FE4E76" w:rsidRDefault="00FE4E76" w:rsidP="00163FD5">
            <w:pPr>
              <w:pStyle w:val="ListParagraph"/>
              <w:numPr>
                <w:ilvl w:val="0"/>
                <w:numId w:val="19"/>
              </w:numPr>
              <w:spacing w:before="120" w:after="120"/>
              <w:rPr>
                <w:rStyle w:val="DefaultText"/>
                <w:b/>
                <w:bCs/>
                <w:color w:val="auto"/>
              </w:rPr>
            </w:pPr>
            <w:r w:rsidRPr="00FE4E76">
              <w:rPr>
                <w:rStyle w:val="DefaultText"/>
                <w:color w:val="auto"/>
              </w:rPr>
              <w:t>Targeted Enterprises</w:t>
            </w:r>
          </w:p>
        </w:tc>
      </w:tr>
      <w:tr w:rsidR="00FE4E76" w14:paraId="23779BCF" w14:textId="77777777" w:rsidTr="00834EF3">
        <w:tc>
          <w:tcPr>
            <w:tcW w:w="2965" w:type="dxa"/>
          </w:tcPr>
          <w:p w14:paraId="6BD5A687" w14:textId="0F858A1A" w:rsidR="00FE4E76" w:rsidRDefault="00FE4E76" w:rsidP="00FE4E76">
            <w:pPr>
              <w:spacing w:before="120" w:after="120"/>
              <w:rPr>
                <w:rStyle w:val="DefaultText"/>
                <w:b/>
                <w:bCs/>
                <w:color w:val="auto"/>
              </w:rPr>
            </w:pPr>
            <w:r w:rsidRPr="00FE4E76">
              <w:rPr>
                <w:rStyle w:val="DefaultText"/>
                <w:b/>
                <w:bCs/>
                <w:color w:val="auto"/>
              </w:rPr>
              <w:t>Civil Society Organizations</w:t>
            </w:r>
          </w:p>
        </w:tc>
        <w:tc>
          <w:tcPr>
            <w:tcW w:w="6052" w:type="dxa"/>
          </w:tcPr>
          <w:p w14:paraId="7E627D8E" w14:textId="4899D859" w:rsidR="00FE4E76" w:rsidRDefault="00FE4E76" w:rsidP="00163FD5">
            <w:pPr>
              <w:pStyle w:val="ListParagraph"/>
              <w:numPr>
                <w:ilvl w:val="0"/>
                <w:numId w:val="19"/>
              </w:numPr>
              <w:spacing w:before="120" w:after="120"/>
              <w:rPr>
                <w:rStyle w:val="DefaultText"/>
                <w:b/>
                <w:bCs/>
                <w:color w:val="auto"/>
              </w:rPr>
            </w:pPr>
            <w:r w:rsidRPr="00FE4E76">
              <w:rPr>
                <w:rStyle w:val="DefaultText"/>
                <w:color w:val="auto"/>
              </w:rPr>
              <w:t xml:space="preserve">Union of Banks </w:t>
            </w:r>
            <w:r>
              <w:rPr>
                <w:rStyle w:val="DefaultText"/>
                <w:color w:val="auto"/>
              </w:rPr>
              <w:t>of Kyrgyzstan</w:t>
            </w:r>
          </w:p>
        </w:tc>
      </w:tr>
    </w:tbl>
    <w:p w14:paraId="698EF86B" w14:textId="77777777" w:rsidR="00875AF9" w:rsidRDefault="00875AF9" w:rsidP="00FE4E76">
      <w:pPr>
        <w:spacing w:before="120" w:after="120" w:line="240" w:lineRule="auto"/>
        <w:jc w:val="both"/>
        <w:rPr>
          <w:rStyle w:val="DefaultText"/>
          <w:b/>
          <w:bCs/>
          <w:color w:val="auto"/>
        </w:rPr>
      </w:pPr>
    </w:p>
    <w:p w14:paraId="446123C2" w14:textId="269C9B4D" w:rsidR="00FE4E76" w:rsidRPr="00E84419" w:rsidRDefault="00FE4E76" w:rsidP="00E84419">
      <w:pPr>
        <w:spacing w:before="120" w:after="120" w:line="240" w:lineRule="auto"/>
        <w:jc w:val="both"/>
        <w:rPr>
          <w:rStyle w:val="DefaultText"/>
          <w:b/>
          <w:bCs/>
          <w:color w:val="auto"/>
        </w:rPr>
      </w:pPr>
      <w:r w:rsidRPr="00E84419">
        <w:rPr>
          <w:rStyle w:val="DefaultText"/>
          <w:b/>
          <w:bCs/>
          <w:color w:val="auto"/>
        </w:rPr>
        <w:t>Indirect Beneficiaries:</w:t>
      </w:r>
    </w:p>
    <w:tbl>
      <w:tblPr>
        <w:tblStyle w:val="TableGrid"/>
        <w:tblW w:w="0" w:type="auto"/>
        <w:tblLook w:val="04A0" w:firstRow="1" w:lastRow="0" w:firstColumn="1" w:lastColumn="0" w:noHBand="0" w:noVBand="1"/>
      </w:tblPr>
      <w:tblGrid>
        <w:gridCol w:w="2965"/>
        <w:gridCol w:w="6052"/>
      </w:tblGrid>
      <w:tr w:rsidR="00FE4E76" w14:paraId="521193C3" w14:textId="77777777" w:rsidTr="00834EF3">
        <w:tc>
          <w:tcPr>
            <w:tcW w:w="2965" w:type="dxa"/>
          </w:tcPr>
          <w:p w14:paraId="706F8B0E" w14:textId="77777777" w:rsidR="00FE4E76" w:rsidRDefault="00FE4E76">
            <w:pPr>
              <w:spacing w:before="120" w:after="120"/>
              <w:jc w:val="both"/>
              <w:rPr>
                <w:rStyle w:val="DefaultText"/>
                <w:b/>
                <w:bCs/>
                <w:color w:val="auto"/>
              </w:rPr>
            </w:pPr>
            <w:r w:rsidRPr="00FE4E76">
              <w:rPr>
                <w:rStyle w:val="DefaultText"/>
                <w:b/>
                <w:bCs/>
                <w:color w:val="auto"/>
              </w:rPr>
              <w:t>Government</w:t>
            </w:r>
          </w:p>
        </w:tc>
        <w:tc>
          <w:tcPr>
            <w:tcW w:w="6052" w:type="dxa"/>
          </w:tcPr>
          <w:p w14:paraId="727EEB46" w14:textId="77777777" w:rsidR="00FE4E76" w:rsidRDefault="00FE4E76" w:rsidP="00163FD5">
            <w:pPr>
              <w:pStyle w:val="ListParagraph"/>
              <w:numPr>
                <w:ilvl w:val="0"/>
                <w:numId w:val="19"/>
              </w:numPr>
              <w:spacing w:before="120" w:after="120"/>
              <w:rPr>
                <w:rStyle w:val="DefaultText"/>
                <w:color w:val="auto"/>
              </w:rPr>
            </w:pPr>
            <w:r w:rsidRPr="00FE4E76">
              <w:rPr>
                <w:rStyle w:val="DefaultText"/>
                <w:color w:val="auto"/>
              </w:rPr>
              <w:t>Sectoral Ministries and State Bodies</w:t>
            </w:r>
          </w:p>
          <w:p w14:paraId="3D53C74C" w14:textId="74DE5D9E"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Local Authorities</w:t>
            </w:r>
          </w:p>
        </w:tc>
      </w:tr>
      <w:tr w:rsidR="00FE4E76" w14:paraId="274A024E" w14:textId="77777777" w:rsidTr="00834EF3">
        <w:tc>
          <w:tcPr>
            <w:tcW w:w="2965" w:type="dxa"/>
          </w:tcPr>
          <w:p w14:paraId="075E81ED" w14:textId="77777777" w:rsidR="00FE4E76" w:rsidRDefault="00FE4E76">
            <w:pPr>
              <w:spacing w:before="120" w:after="120"/>
              <w:jc w:val="both"/>
              <w:rPr>
                <w:rStyle w:val="DefaultText"/>
                <w:b/>
                <w:bCs/>
                <w:color w:val="auto"/>
              </w:rPr>
            </w:pPr>
            <w:r w:rsidRPr="00FE4E76">
              <w:rPr>
                <w:rStyle w:val="DefaultText"/>
                <w:b/>
                <w:bCs/>
                <w:color w:val="auto"/>
              </w:rPr>
              <w:t>Private Sector</w:t>
            </w:r>
          </w:p>
        </w:tc>
        <w:tc>
          <w:tcPr>
            <w:tcW w:w="6052" w:type="dxa"/>
          </w:tcPr>
          <w:p w14:paraId="4A6F3E3C" w14:textId="77777777" w:rsidR="00FE4E76" w:rsidRPr="00FE4E76" w:rsidRDefault="00FE4E76" w:rsidP="00163FD5">
            <w:pPr>
              <w:pStyle w:val="ListParagraph"/>
              <w:numPr>
                <w:ilvl w:val="0"/>
                <w:numId w:val="19"/>
              </w:numPr>
              <w:spacing w:before="120" w:after="120"/>
              <w:rPr>
                <w:rStyle w:val="DefaultText"/>
                <w:b/>
                <w:bCs/>
                <w:color w:val="auto"/>
              </w:rPr>
            </w:pPr>
            <w:r w:rsidRPr="00FE4E76">
              <w:rPr>
                <w:rStyle w:val="DefaultText"/>
                <w:color w:val="auto"/>
              </w:rPr>
              <w:t>Financial Institutions</w:t>
            </w:r>
          </w:p>
          <w:p w14:paraId="1C8A7186" w14:textId="77777777"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Entrepreneurs (clients of targeted Financial Institutions)</w:t>
            </w:r>
          </w:p>
          <w:p w14:paraId="6FEB0C76" w14:textId="1F569564" w:rsidR="00FE4E76" w:rsidRDefault="00FE4E76" w:rsidP="00163FD5">
            <w:pPr>
              <w:pStyle w:val="ListParagraph"/>
              <w:numPr>
                <w:ilvl w:val="0"/>
                <w:numId w:val="19"/>
              </w:numPr>
              <w:spacing w:before="120" w:after="120"/>
              <w:rPr>
                <w:rStyle w:val="DefaultText"/>
                <w:b/>
                <w:bCs/>
                <w:color w:val="auto"/>
              </w:rPr>
            </w:pPr>
            <w:r w:rsidRPr="00FE4E76">
              <w:rPr>
                <w:rStyle w:val="DefaultText"/>
                <w:color w:val="auto"/>
              </w:rPr>
              <w:t>Technical experts (individuals and organizations) qualified for verification and validation</w:t>
            </w:r>
          </w:p>
        </w:tc>
      </w:tr>
      <w:tr w:rsidR="00FE4E76" w14:paraId="45C7AF02" w14:textId="77777777" w:rsidTr="00834EF3">
        <w:tc>
          <w:tcPr>
            <w:tcW w:w="2965" w:type="dxa"/>
          </w:tcPr>
          <w:p w14:paraId="5D47327E" w14:textId="77777777" w:rsidR="00FE4E76" w:rsidRDefault="00FE4E76">
            <w:pPr>
              <w:spacing w:before="120" w:after="120"/>
              <w:rPr>
                <w:rStyle w:val="DefaultText"/>
                <w:b/>
                <w:bCs/>
                <w:color w:val="auto"/>
              </w:rPr>
            </w:pPr>
            <w:r w:rsidRPr="00FE4E76">
              <w:rPr>
                <w:rStyle w:val="DefaultText"/>
                <w:b/>
                <w:bCs/>
                <w:color w:val="auto"/>
              </w:rPr>
              <w:t>Civil Society Organizations</w:t>
            </w:r>
          </w:p>
        </w:tc>
        <w:tc>
          <w:tcPr>
            <w:tcW w:w="6052" w:type="dxa"/>
          </w:tcPr>
          <w:p w14:paraId="0EEBB7A4" w14:textId="77777777" w:rsidR="00FE4E76" w:rsidRPr="00FE4E76" w:rsidRDefault="00FE4E76" w:rsidP="00163FD5">
            <w:pPr>
              <w:pStyle w:val="ListParagraph"/>
              <w:numPr>
                <w:ilvl w:val="0"/>
                <w:numId w:val="19"/>
              </w:numPr>
              <w:spacing w:before="120" w:after="120"/>
              <w:rPr>
                <w:rStyle w:val="DefaultText"/>
                <w:b/>
                <w:bCs/>
                <w:color w:val="auto"/>
              </w:rPr>
            </w:pPr>
            <w:r w:rsidRPr="00FE4E76">
              <w:rPr>
                <w:rStyle w:val="DefaultText"/>
                <w:color w:val="auto"/>
              </w:rPr>
              <w:t>Association of Microfinance Institutions</w:t>
            </w:r>
          </w:p>
          <w:p w14:paraId="0F68E28B" w14:textId="771236C6" w:rsidR="00FE4E76" w:rsidRPr="00FE4E76" w:rsidRDefault="00FE4E76" w:rsidP="00163FD5">
            <w:pPr>
              <w:pStyle w:val="ListParagraph"/>
              <w:numPr>
                <w:ilvl w:val="0"/>
                <w:numId w:val="19"/>
              </w:numPr>
              <w:spacing w:before="120" w:after="120"/>
              <w:rPr>
                <w:rStyle w:val="DefaultText"/>
                <w:color w:val="auto"/>
              </w:rPr>
            </w:pPr>
            <w:r w:rsidRPr="00FE4E76">
              <w:rPr>
                <w:rStyle w:val="DefaultText"/>
                <w:color w:val="auto"/>
              </w:rPr>
              <w:t xml:space="preserve">Environmental </w:t>
            </w:r>
            <w:r w:rsidR="00BE093A">
              <w:rPr>
                <w:rStyle w:val="DefaultText"/>
                <w:color w:val="auto"/>
              </w:rPr>
              <w:t>civil society organization</w:t>
            </w:r>
            <w:r w:rsidRPr="00FE4E76">
              <w:rPr>
                <w:rStyle w:val="DefaultText"/>
                <w:color w:val="auto"/>
              </w:rPr>
              <w:t>s</w:t>
            </w:r>
          </w:p>
        </w:tc>
      </w:tr>
    </w:tbl>
    <w:p w14:paraId="5F39E9F5" w14:textId="77777777" w:rsidR="00FE4E76" w:rsidRDefault="00FE4E76" w:rsidP="00FE4E76">
      <w:pPr>
        <w:spacing w:before="120" w:after="120" w:line="240" w:lineRule="auto"/>
        <w:jc w:val="both"/>
        <w:rPr>
          <w:rStyle w:val="DefaultText"/>
          <w:b/>
          <w:bCs/>
          <w:color w:val="auto"/>
        </w:rPr>
      </w:pPr>
    </w:p>
    <w:p w14:paraId="658314A1" w14:textId="77777777" w:rsidR="005454B8" w:rsidRDefault="005454B8" w:rsidP="005454B8"/>
    <w:p w14:paraId="70BB63DD" w14:textId="77777777" w:rsidR="005454B8" w:rsidRPr="00AF3539" w:rsidRDefault="005454B8" w:rsidP="005454B8">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t>Stakeholder engagement</w:t>
      </w:r>
    </w:p>
    <w:p w14:paraId="2036F674" w14:textId="1E589534" w:rsidR="00E84419" w:rsidRDefault="005E282F">
      <w:pPr>
        <w:pStyle w:val="Default"/>
        <w:numPr>
          <w:ilvl w:val="0"/>
          <w:numId w:val="29"/>
        </w:numPr>
        <w:spacing w:after="240"/>
        <w:jc w:val="both"/>
        <w:rPr>
          <w:rFonts w:asciiTheme="minorHAnsi" w:hAnsiTheme="minorHAnsi"/>
          <w:sz w:val="20"/>
          <w:szCs w:val="20"/>
          <w:lang w:val="en-GB"/>
        </w:rPr>
      </w:pPr>
      <w:r w:rsidRPr="00E84419">
        <w:rPr>
          <w:rFonts w:asciiTheme="minorHAnsi" w:hAnsiTheme="minorHAnsi"/>
          <w:sz w:val="20"/>
          <w:szCs w:val="20"/>
          <w:lang w:val="en-GB"/>
        </w:rPr>
        <w:t>The development of the Readiness proposal was initiated in response to an official request from the Ministry of Natural Resources, Ecology, and Technical Supervision</w:t>
      </w:r>
      <w:r w:rsidR="00700CB3" w:rsidRPr="00E84419">
        <w:rPr>
          <w:rFonts w:asciiTheme="minorHAnsi" w:hAnsiTheme="minorHAnsi"/>
          <w:sz w:val="20"/>
          <w:szCs w:val="20"/>
          <w:lang w:val="en-US"/>
        </w:rPr>
        <w:t xml:space="preserve"> (MNRETS)</w:t>
      </w:r>
      <w:r w:rsidRPr="00E84419">
        <w:rPr>
          <w:rFonts w:asciiTheme="minorHAnsi" w:hAnsiTheme="minorHAnsi"/>
          <w:sz w:val="20"/>
          <w:szCs w:val="20"/>
          <w:lang w:val="en-GB"/>
        </w:rPr>
        <w:t>, serving as the National Designated Authority. It was a collaborative effort involving the NDA (led by the Head of the Climate Change Department) and the UNDP technical team, which included the Team Leader and Programme Officer of the Sustainable Economic Development Cluster, as well as international and national consultants. The process was carried out in close coordination with the Climate Finance Center (CFC, Director) and emphasized broad stakeholder engagement to ensure inclusivity and ownership. Two workshops were conducted on November 6 and 27, 2024, focusing on the proposal’s initial design and validation. These workshops included participation from government agencies, financial institutions, civil society, and international development partners. Between November 14 and 22, 2024, fourteen bilateral consultations were also held with key stakeholders to identify gaps in green finance and climate strategies, align project objectives with national priorities, and integrate diverse perspectives.</w:t>
      </w:r>
    </w:p>
    <w:p w14:paraId="5C905F81" w14:textId="77777777" w:rsidR="007A1419" w:rsidRDefault="00700CB3">
      <w:pPr>
        <w:pStyle w:val="Default"/>
        <w:numPr>
          <w:ilvl w:val="0"/>
          <w:numId w:val="29"/>
        </w:numPr>
        <w:spacing w:after="240"/>
        <w:jc w:val="both"/>
        <w:rPr>
          <w:rFonts w:asciiTheme="minorHAnsi" w:hAnsiTheme="minorHAnsi"/>
          <w:sz w:val="20"/>
          <w:szCs w:val="20"/>
          <w:lang w:val="en-GB"/>
        </w:rPr>
      </w:pPr>
      <w:r w:rsidRPr="007A1419">
        <w:rPr>
          <w:rFonts w:asciiTheme="minorHAnsi" w:hAnsiTheme="minorHAnsi"/>
          <w:sz w:val="20"/>
          <w:szCs w:val="20"/>
          <w:lang w:val="en-GB"/>
        </w:rPr>
        <w:t>In collaboration with MNRETS, the Climate Finance Center (CFC) has been instrumental in identifying the gaps and barriers in green finance mobilization. Established to strengthen Kyrgyzstan’s green finance infrastructure, the CFC facilitated consultations with key stakeholders to ensure that project design addressed the country’s specific challenges. This included organizing discussions with government agencies, financial institutions, and private sector actors to identify market barriers and opportunities for scaling up green investments. By focusing on structuring pipelines for large-scale projects and aligning them with international financing mechanisms, the CFC has ensured that the proposal incorporates sustainable solutions.</w:t>
      </w:r>
    </w:p>
    <w:p w14:paraId="3975953E" w14:textId="77777777" w:rsidR="007A1419" w:rsidRDefault="00700CB3">
      <w:pPr>
        <w:pStyle w:val="Default"/>
        <w:numPr>
          <w:ilvl w:val="0"/>
          <w:numId w:val="29"/>
        </w:numPr>
        <w:spacing w:after="240"/>
        <w:jc w:val="both"/>
        <w:rPr>
          <w:rFonts w:asciiTheme="minorHAnsi" w:hAnsiTheme="minorHAnsi"/>
          <w:sz w:val="20"/>
          <w:szCs w:val="20"/>
          <w:lang w:val="en-GB"/>
        </w:rPr>
      </w:pPr>
      <w:r w:rsidRPr="007A1419">
        <w:rPr>
          <w:rFonts w:asciiTheme="minorHAnsi" w:hAnsiTheme="minorHAnsi"/>
          <w:sz w:val="20"/>
          <w:szCs w:val="20"/>
          <w:lang w:val="en-GB"/>
        </w:rPr>
        <w:t xml:space="preserve">The State Development Bank (SDB), a government-established financial institution, has brought its </w:t>
      </w:r>
      <w:r w:rsidR="00461ED1" w:rsidRPr="007A1419">
        <w:rPr>
          <w:rFonts w:asciiTheme="minorHAnsi" w:hAnsiTheme="minorHAnsi"/>
          <w:sz w:val="20"/>
          <w:szCs w:val="20"/>
          <w:lang w:val="en-GB"/>
        </w:rPr>
        <w:t>experience</w:t>
      </w:r>
      <w:r w:rsidRPr="007A1419">
        <w:rPr>
          <w:rFonts w:asciiTheme="minorHAnsi" w:hAnsiTheme="minorHAnsi"/>
          <w:sz w:val="20"/>
          <w:szCs w:val="20"/>
          <w:lang w:val="en-GB"/>
        </w:rPr>
        <w:t xml:space="preserve"> </w:t>
      </w:r>
      <w:r w:rsidR="00461ED1" w:rsidRPr="007A1419">
        <w:rPr>
          <w:rFonts w:asciiTheme="minorHAnsi" w:hAnsiTheme="minorHAnsi"/>
          <w:sz w:val="20"/>
          <w:szCs w:val="20"/>
          <w:lang w:val="en-GB"/>
        </w:rPr>
        <w:t>of</w:t>
      </w:r>
      <w:r w:rsidRPr="007A1419">
        <w:rPr>
          <w:rFonts w:asciiTheme="minorHAnsi" w:hAnsiTheme="minorHAnsi"/>
          <w:sz w:val="20"/>
          <w:szCs w:val="20"/>
          <w:lang w:val="en-GB"/>
        </w:rPr>
        <w:t xml:space="preserve"> designing </w:t>
      </w:r>
      <w:r w:rsidR="00461ED1" w:rsidRPr="007A1419">
        <w:rPr>
          <w:rFonts w:asciiTheme="minorHAnsi" w:hAnsiTheme="minorHAnsi"/>
          <w:sz w:val="20"/>
          <w:szCs w:val="20"/>
          <w:lang w:val="en-GB"/>
        </w:rPr>
        <w:t xml:space="preserve">and launching </w:t>
      </w:r>
      <w:r w:rsidRPr="007A1419">
        <w:rPr>
          <w:rFonts w:asciiTheme="minorHAnsi" w:hAnsiTheme="minorHAnsi"/>
          <w:sz w:val="20"/>
          <w:szCs w:val="20"/>
          <w:lang w:val="en-GB"/>
        </w:rPr>
        <w:t>innovative green financial products to the table. During the consultations, the SDB emphasized the importance of creating partnerships with commercial banks and international donors to promote investments in renewable energy, sustainable agriculture, and low-carbon infrastructure. As a pivotal institution in the country’s green finance ecosystem, the SDB is tasked with transforming Kyrgyzstan’s financial sector into a key enabler of climate action.</w:t>
      </w:r>
    </w:p>
    <w:p w14:paraId="09FE900C" w14:textId="77777777" w:rsidR="007A1419" w:rsidRDefault="00700CB3">
      <w:pPr>
        <w:pStyle w:val="Default"/>
        <w:numPr>
          <w:ilvl w:val="0"/>
          <w:numId w:val="29"/>
        </w:numPr>
        <w:spacing w:after="240"/>
        <w:jc w:val="both"/>
        <w:rPr>
          <w:rFonts w:asciiTheme="minorHAnsi" w:hAnsiTheme="minorHAnsi"/>
          <w:sz w:val="20"/>
          <w:szCs w:val="20"/>
          <w:lang w:val="en-GB"/>
        </w:rPr>
      </w:pPr>
      <w:r w:rsidRPr="007A1419">
        <w:rPr>
          <w:rFonts w:asciiTheme="minorHAnsi" w:hAnsiTheme="minorHAnsi"/>
          <w:sz w:val="20"/>
          <w:szCs w:val="20"/>
          <w:lang w:val="en-GB"/>
        </w:rPr>
        <w:t>The proposal also reflects inputs from the Ministry of Economy and Commerce (</w:t>
      </w:r>
      <w:proofErr w:type="spellStart"/>
      <w:r w:rsidRPr="007A1419">
        <w:rPr>
          <w:rFonts w:asciiTheme="minorHAnsi" w:hAnsiTheme="minorHAnsi"/>
          <w:sz w:val="20"/>
          <w:szCs w:val="20"/>
          <w:lang w:val="en-GB"/>
        </w:rPr>
        <w:t>M</w:t>
      </w:r>
      <w:r w:rsidR="007F53C8" w:rsidRPr="007A1419">
        <w:rPr>
          <w:rFonts w:asciiTheme="minorHAnsi" w:hAnsiTheme="minorHAnsi"/>
          <w:sz w:val="20"/>
          <w:szCs w:val="20"/>
          <w:lang w:val="en-GB"/>
        </w:rPr>
        <w:t>o</w:t>
      </w:r>
      <w:r w:rsidRPr="007A1419">
        <w:rPr>
          <w:rFonts w:asciiTheme="minorHAnsi" w:hAnsiTheme="minorHAnsi"/>
          <w:sz w:val="20"/>
          <w:szCs w:val="20"/>
          <w:lang w:val="en-GB"/>
        </w:rPr>
        <w:t>EC</w:t>
      </w:r>
      <w:proofErr w:type="spellEnd"/>
      <w:r w:rsidRPr="007A1419">
        <w:rPr>
          <w:rFonts w:asciiTheme="minorHAnsi" w:hAnsiTheme="minorHAnsi"/>
          <w:sz w:val="20"/>
          <w:szCs w:val="20"/>
          <w:lang w:val="en-GB"/>
        </w:rPr>
        <w:t xml:space="preserve">), which highlighted the </w:t>
      </w:r>
      <w:r w:rsidRPr="00E22529">
        <w:rPr>
          <w:rFonts w:asciiTheme="minorHAnsi" w:hAnsiTheme="minorHAnsi"/>
          <w:sz w:val="20"/>
          <w:szCs w:val="20"/>
          <w:lang w:val="en-GB"/>
        </w:rPr>
        <w:t>need to operationalize a robust green finance framework through the Green Economy Development Program</w:t>
      </w:r>
      <w:r w:rsidR="00461ED1" w:rsidRPr="007A1419">
        <w:rPr>
          <w:rFonts w:asciiTheme="minorHAnsi" w:hAnsiTheme="minorHAnsi"/>
          <w:sz w:val="20"/>
          <w:szCs w:val="20"/>
          <w:lang w:val="en-GB"/>
        </w:rPr>
        <w:t xml:space="preserve"> </w:t>
      </w:r>
      <w:r w:rsidR="00461ED1" w:rsidRPr="00E22529">
        <w:rPr>
          <w:rFonts w:asciiTheme="minorHAnsi" w:hAnsiTheme="minorHAnsi"/>
          <w:sz w:val="20"/>
          <w:szCs w:val="20"/>
          <w:lang w:val="en-GB"/>
        </w:rPr>
        <w:t>and Green Taxonomy</w:t>
      </w:r>
      <w:r w:rsidRPr="00E22529">
        <w:rPr>
          <w:rFonts w:asciiTheme="minorHAnsi" w:hAnsiTheme="minorHAnsi"/>
          <w:sz w:val="20"/>
          <w:szCs w:val="20"/>
          <w:lang w:val="en-GB"/>
        </w:rPr>
        <w:t xml:space="preserve">. As the driving force behind the country’s economic policies, </w:t>
      </w:r>
      <w:proofErr w:type="spellStart"/>
      <w:r w:rsidRPr="00E22529">
        <w:rPr>
          <w:rFonts w:asciiTheme="minorHAnsi" w:hAnsiTheme="minorHAnsi"/>
          <w:sz w:val="20"/>
          <w:szCs w:val="20"/>
          <w:lang w:val="en-GB"/>
        </w:rPr>
        <w:t>M</w:t>
      </w:r>
      <w:r w:rsidR="007F53C8" w:rsidRPr="00E22529">
        <w:rPr>
          <w:rFonts w:asciiTheme="minorHAnsi" w:hAnsiTheme="minorHAnsi"/>
          <w:sz w:val="20"/>
          <w:szCs w:val="20"/>
          <w:lang w:val="en-GB"/>
        </w:rPr>
        <w:t>o</w:t>
      </w:r>
      <w:r w:rsidRPr="00E22529">
        <w:rPr>
          <w:rFonts w:asciiTheme="minorHAnsi" w:hAnsiTheme="minorHAnsi"/>
          <w:sz w:val="20"/>
          <w:szCs w:val="20"/>
          <w:lang w:val="en-GB"/>
        </w:rPr>
        <w:t>EC</w:t>
      </w:r>
      <w:proofErr w:type="spellEnd"/>
      <w:r w:rsidRPr="00E22529">
        <w:rPr>
          <w:rFonts w:asciiTheme="minorHAnsi" w:hAnsiTheme="minorHAnsi"/>
          <w:sz w:val="20"/>
          <w:szCs w:val="20"/>
          <w:lang w:val="en-GB"/>
        </w:rPr>
        <w:t xml:space="preserve"> has provided essential insights into how fiscal and regulatory incentives can encourage green investments. Similarly, the Ministry</w:t>
      </w:r>
      <w:r w:rsidRPr="007A1419">
        <w:rPr>
          <w:rFonts w:asciiTheme="minorHAnsi" w:hAnsiTheme="minorHAnsi"/>
          <w:sz w:val="20"/>
          <w:szCs w:val="20"/>
          <w:lang w:val="en-GB"/>
        </w:rPr>
        <w:t xml:space="preserve"> </w:t>
      </w:r>
      <w:r w:rsidRPr="00E22529">
        <w:rPr>
          <w:rFonts w:asciiTheme="minorHAnsi" w:hAnsiTheme="minorHAnsi"/>
          <w:sz w:val="20"/>
          <w:szCs w:val="20"/>
          <w:lang w:val="en-GB"/>
        </w:rPr>
        <w:t>of Finance (MoF) has contributed its expertise in designing budgetary mechanisms, tax incentives</w:t>
      </w:r>
      <w:r w:rsidRPr="007A1419">
        <w:rPr>
          <w:rFonts w:asciiTheme="minorHAnsi" w:hAnsiTheme="minorHAnsi"/>
          <w:sz w:val="20"/>
          <w:szCs w:val="20"/>
          <w:lang w:val="en-GB"/>
        </w:rPr>
        <w:t>, and regulatory frameworks to facilitate the adoption of green technologies and sustainable practices.</w:t>
      </w:r>
    </w:p>
    <w:p w14:paraId="531CC619" w14:textId="77777777" w:rsidR="007A1419" w:rsidRDefault="00FD6E67">
      <w:pPr>
        <w:pStyle w:val="Default"/>
        <w:numPr>
          <w:ilvl w:val="0"/>
          <w:numId w:val="29"/>
        </w:numPr>
        <w:spacing w:after="240"/>
        <w:jc w:val="both"/>
        <w:rPr>
          <w:rFonts w:asciiTheme="minorHAnsi" w:hAnsiTheme="minorHAnsi"/>
          <w:sz w:val="20"/>
          <w:szCs w:val="20"/>
          <w:lang w:val="en-GB"/>
        </w:rPr>
      </w:pPr>
      <w:r w:rsidRPr="007A1419">
        <w:rPr>
          <w:rFonts w:asciiTheme="minorHAnsi" w:hAnsiTheme="minorHAnsi"/>
          <w:sz w:val="20"/>
          <w:szCs w:val="20"/>
          <w:lang w:val="en-GB"/>
        </w:rPr>
        <w:lastRenderedPageBreak/>
        <w:t>International partners such as the Asian Development Bank</w:t>
      </w:r>
      <w:r w:rsidR="00C6521D" w:rsidRPr="007A1419">
        <w:rPr>
          <w:rFonts w:asciiTheme="minorHAnsi" w:hAnsiTheme="minorHAnsi"/>
          <w:sz w:val="20"/>
          <w:szCs w:val="20"/>
          <w:lang w:val="en-GB"/>
        </w:rPr>
        <w:t>, t</w:t>
      </w:r>
      <w:r w:rsidRPr="007A1419">
        <w:rPr>
          <w:rFonts w:asciiTheme="minorHAnsi" w:hAnsiTheme="minorHAnsi"/>
          <w:sz w:val="20"/>
          <w:szCs w:val="20"/>
          <w:lang w:val="en-GB"/>
        </w:rPr>
        <w:t>he World Bank</w:t>
      </w:r>
      <w:r w:rsidR="00C6521D" w:rsidRPr="007A1419">
        <w:rPr>
          <w:rFonts w:asciiTheme="minorHAnsi" w:hAnsiTheme="minorHAnsi"/>
          <w:sz w:val="20"/>
          <w:szCs w:val="20"/>
          <w:lang w:val="en-GB"/>
        </w:rPr>
        <w:t>, GIZ and USAID</w:t>
      </w:r>
      <w:r w:rsidRPr="007A1419">
        <w:rPr>
          <w:rFonts w:asciiTheme="minorHAnsi" w:hAnsiTheme="minorHAnsi"/>
          <w:sz w:val="20"/>
          <w:szCs w:val="20"/>
          <w:lang w:val="en-GB"/>
        </w:rPr>
        <w:t xml:space="preserve"> provided insights fro</w:t>
      </w:r>
      <w:r w:rsidR="00461ED1" w:rsidRPr="007A1419">
        <w:rPr>
          <w:rFonts w:asciiTheme="minorHAnsi" w:hAnsiTheme="minorHAnsi"/>
          <w:sz w:val="20"/>
          <w:szCs w:val="20"/>
          <w:lang w:val="en-GB"/>
        </w:rPr>
        <w:t>m</w:t>
      </w:r>
      <w:r w:rsidRPr="007A1419">
        <w:rPr>
          <w:rFonts w:asciiTheme="minorHAnsi" w:hAnsiTheme="minorHAnsi"/>
          <w:sz w:val="20"/>
          <w:szCs w:val="20"/>
          <w:lang w:val="en-GB"/>
        </w:rPr>
        <w:t xml:space="preserve"> their relevant work and technical expertise on project financing and large-scale mitigation strategies, while local banks like </w:t>
      </w:r>
      <w:proofErr w:type="spellStart"/>
      <w:r w:rsidRPr="007A1419">
        <w:rPr>
          <w:rFonts w:asciiTheme="minorHAnsi" w:hAnsiTheme="minorHAnsi"/>
          <w:sz w:val="20"/>
          <w:szCs w:val="20"/>
          <w:lang w:val="en-GB"/>
        </w:rPr>
        <w:t>Doscredobank</w:t>
      </w:r>
      <w:proofErr w:type="spellEnd"/>
      <w:r w:rsidRPr="007A1419">
        <w:rPr>
          <w:rFonts w:asciiTheme="minorHAnsi" w:hAnsiTheme="minorHAnsi"/>
          <w:sz w:val="20"/>
          <w:szCs w:val="20"/>
          <w:lang w:val="en-GB"/>
        </w:rPr>
        <w:t xml:space="preserve"> offered insights into market needs and opportunities for green financial products.</w:t>
      </w:r>
      <w:r w:rsidR="00FC1127" w:rsidRPr="007A1419">
        <w:rPr>
          <w:rFonts w:asciiTheme="minorHAnsi" w:hAnsiTheme="minorHAnsi"/>
          <w:sz w:val="20"/>
          <w:szCs w:val="20"/>
          <w:lang w:val="en-GB"/>
        </w:rPr>
        <w:t xml:space="preserve"> </w:t>
      </w:r>
      <w:r w:rsidR="00A332D4" w:rsidRPr="007A1419">
        <w:rPr>
          <w:rFonts w:asciiTheme="minorHAnsi" w:hAnsiTheme="minorHAnsi"/>
          <w:sz w:val="20"/>
          <w:szCs w:val="20"/>
          <w:lang w:val="en-GB"/>
        </w:rPr>
        <w:t xml:space="preserve">Among several activities relevant to the project, there are </w:t>
      </w:r>
      <w:r w:rsidR="0062337C" w:rsidRPr="007A1419">
        <w:rPr>
          <w:rFonts w:asciiTheme="minorHAnsi" w:hAnsiTheme="minorHAnsi"/>
          <w:sz w:val="20"/>
          <w:szCs w:val="20"/>
          <w:lang w:val="en-GB"/>
        </w:rPr>
        <w:t xml:space="preserve">specific </w:t>
      </w:r>
      <w:r w:rsidR="00A332D4" w:rsidRPr="007A1419">
        <w:rPr>
          <w:rFonts w:asciiTheme="minorHAnsi" w:hAnsiTheme="minorHAnsi"/>
          <w:sz w:val="20"/>
          <w:szCs w:val="20"/>
          <w:lang w:val="en-GB"/>
        </w:rPr>
        <w:t xml:space="preserve">synergies that are going to materialize during the proposed project implement. </w:t>
      </w:r>
      <w:r w:rsidR="00FC1127" w:rsidRPr="007A1419">
        <w:rPr>
          <w:rFonts w:asciiTheme="minorHAnsi" w:hAnsiTheme="minorHAnsi"/>
          <w:sz w:val="20"/>
          <w:szCs w:val="20"/>
          <w:lang w:val="en-GB"/>
        </w:rPr>
        <w:t xml:space="preserve">Asian Development Bank is providing technical assistance to CFC, targeted to strengthen its capacity </w:t>
      </w:r>
      <w:r w:rsidR="007879D6" w:rsidRPr="007A1419">
        <w:rPr>
          <w:rFonts w:asciiTheme="minorHAnsi" w:hAnsiTheme="minorHAnsi"/>
          <w:sz w:val="20"/>
          <w:szCs w:val="20"/>
          <w:lang w:val="en-GB"/>
        </w:rPr>
        <w:t xml:space="preserve">related to accumulation and transferring knowledge on green and climate project preparation as well finance. </w:t>
      </w:r>
      <w:r w:rsidR="00734F58" w:rsidRPr="007A1419">
        <w:rPr>
          <w:rFonts w:asciiTheme="minorHAnsi" w:hAnsiTheme="minorHAnsi"/>
          <w:sz w:val="20"/>
          <w:szCs w:val="20"/>
          <w:lang w:val="en-GB"/>
        </w:rPr>
        <w:t xml:space="preserve">The WB is negotiating with the Government an investment project </w:t>
      </w:r>
      <w:r w:rsidR="00832942" w:rsidRPr="007A1419">
        <w:rPr>
          <w:rFonts w:asciiTheme="minorHAnsi" w:hAnsiTheme="minorHAnsi"/>
          <w:sz w:val="20"/>
          <w:szCs w:val="20"/>
          <w:lang w:val="en-GB"/>
        </w:rPr>
        <w:t>that includes additional capitalization</w:t>
      </w:r>
      <w:r w:rsidR="006843F0" w:rsidRPr="007A1419">
        <w:rPr>
          <w:rFonts w:asciiTheme="minorHAnsi" w:hAnsiTheme="minorHAnsi"/>
          <w:sz w:val="20"/>
          <w:szCs w:val="20"/>
          <w:lang w:val="en-GB"/>
        </w:rPr>
        <w:t xml:space="preserve"> </w:t>
      </w:r>
      <w:r w:rsidR="00832942" w:rsidRPr="007A1419">
        <w:rPr>
          <w:rFonts w:asciiTheme="minorHAnsi" w:hAnsiTheme="minorHAnsi"/>
          <w:sz w:val="20"/>
          <w:szCs w:val="20"/>
          <w:lang w:val="en-GB"/>
        </w:rPr>
        <w:t>of the SDB</w:t>
      </w:r>
      <w:r w:rsidR="006843F0" w:rsidRPr="007A1419">
        <w:rPr>
          <w:rFonts w:asciiTheme="minorHAnsi" w:hAnsiTheme="minorHAnsi"/>
          <w:sz w:val="20"/>
          <w:szCs w:val="20"/>
          <w:lang w:val="en-GB"/>
        </w:rPr>
        <w:t xml:space="preserve"> (around USD 30 million)</w:t>
      </w:r>
      <w:r w:rsidR="00832942" w:rsidRPr="007A1419">
        <w:rPr>
          <w:rFonts w:asciiTheme="minorHAnsi" w:hAnsiTheme="minorHAnsi"/>
          <w:sz w:val="20"/>
          <w:szCs w:val="20"/>
          <w:lang w:val="en-GB"/>
        </w:rPr>
        <w:t xml:space="preserve"> </w:t>
      </w:r>
      <w:r w:rsidR="00265A18" w:rsidRPr="007A1419">
        <w:rPr>
          <w:rFonts w:asciiTheme="minorHAnsi" w:hAnsiTheme="minorHAnsi"/>
          <w:sz w:val="20"/>
          <w:szCs w:val="20"/>
          <w:lang w:val="en-GB"/>
        </w:rPr>
        <w:t xml:space="preserve">with focus on green finance. USAID has started its </w:t>
      </w:r>
      <w:r w:rsidR="006843F0" w:rsidRPr="007A1419">
        <w:rPr>
          <w:rFonts w:asciiTheme="minorHAnsi" w:hAnsiTheme="minorHAnsi"/>
          <w:sz w:val="20"/>
          <w:szCs w:val="20"/>
          <w:lang w:val="en-GB"/>
        </w:rPr>
        <w:t xml:space="preserve">Green Solutions Activity which includes </w:t>
      </w:r>
      <w:r w:rsidR="00520F06" w:rsidRPr="007A1419">
        <w:rPr>
          <w:rFonts w:asciiTheme="minorHAnsi" w:hAnsiTheme="minorHAnsi"/>
          <w:sz w:val="20"/>
          <w:szCs w:val="20"/>
          <w:lang w:val="en-GB"/>
        </w:rPr>
        <w:t xml:space="preserve">support to private financial institutions to access </w:t>
      </w:r>
      <w:r w:rsidR="00334CBF" w:rsidRPr="007A1419">
        <w:rPr>
          <w:rFonts w:asciiTheme="minorHAnsi" w:hAnsiTheme="minorHAnsi"/>
          <w:sz w:val="20"/>
          <w:szCs w:val="20"/>
          <w:lang w:val="en-GB"/>
        </w:rPr>
        <w:t xml:space="preserve">climate and green funds, as well </w:t>
      </w:r>
      <w:r w:rsidR="00E66AEF" w:rsidRPr="007A1419">
        <w:rPr>
          <w:rFonts w:asciiTheme="minorHAnsi" w:hAnsiTheme="minorHAnsi"/>
          <w:sz w:val="20"/>
          <w:szCs w:val="20"/>
          <w:lang w:val="en-GB"/>
        </w:rPr>
        <w:t xml:space="preserve">application of </w:t>
      </w:r>
      <w:r w:rsidR="00334CBF" w:rsidRPr="007A1419">
        <w:rPr>
          <w:rFonts w:asciiTheme="minorHAnsi" w:hAnsiTheme="minorHAnsi"/>
          <w:sz w:val="20"/>
          <w:szCs w:val="20"/>
          <w:lang w:val="en-GB"/>
        </w:rPr>
        <w:t xml:space="preserve">innovative </w:t>
      </w:r>
      <w:r w:rsidR="00E66AEF" w:rsidRPr="007A1419">
        <w:rPr>
          <w:rFonts w:asciiTheme="minorHAnsi" w:hAnsiTheme="minorHAnsi"/>
          <w:sz w:val="20"/>
          <w:szCs w:val="20"/>
          <w:lang w:val="en-GB"/>
        </w:rPr>
        <w:t xml:space="preserve">instruments </w:t>
      </w:r>
      <w:r w:rsidR="002934A5" w:rsidRPr="007A1419">
        <w:rPr>
          <w:rFonts w:asciiTheme="minorHAnsi" w:hAnsiTheme="minorHAnsi"/>
          <w:sz w:val="20"/>
          <w:szCs w:val="20"/>
          <w:lang w:val="en-GB"/>
        </w:rPr>
        <w:t>of mobilizing resources, such as issuance of green bonds.</w:t>
      </w:r>
    </w:p>
    <w:p w14:paraId="78711D68" w14:textId="48A8901B" w:rsidR="007A1419" w:rsidRDefault="00FD6E67">
      <w:pPr>
        <w:pStyle w:val="Default"/>
        <w:numPr>
          <w:ilvl w:val="0"/>
          <w:numId w:val="29"/>
        </w:numPr>
        <w:spacing w:after="240"/>
        <w:jc w:val="both"/>
        <w:rPr>
          <w:rFonts w:asciiTheme="minorHAnsi" w:hAnsiTheme="minorHAnsi"/>
          <w:sz w:val="20"/>
          <w:szCs w:val="20"/>
          <w:lang w:val="en-GB"/>
        </w:rPr>
      </w:pPr>
      <w:r w:rsidRPr="007A1419">
        <w:rPr>
          <w:rFonts w:asciiTheme="minorHAnsi" w:hAnsiTheme="minorHAnsi"/>
          <w:sz w:val="20"/>
          <w:szCs w:val="20"/>
          <w:lang w:val="en-GB"/>
        </w:rPr>
        <w:t xml:space="preserve">The readiness proposal also recognizes the critical role of </w:t>
      </w:r>
      <w:proofErr w:type="spellStart"/>
      <w:r w:rsidRPr="007A1419">
        <w:rPr>
          <w:rFonts w:asciiTheme="minorHAnsi" w:hAnsiTheme="minorHAnsi"/>
          <w:sz w:val="20"/>
          <w:szCs w:val="20"/>
          <w:lang w:val="en-GB"/>
        </w:rPr>
        <w:t>Eldik</w:t>
      </w:r>
      <w:proofErr w:type="spellEnd"/>
      <w:r w:rsidRPr="007A1419">
        <w:rPr>
          <w:rFonts w:asciiTheme="minorHAnsi" w:hAnsiTheme="minorHAnsi"/>
          <w:sz w:val="20"/>
          <w:szCs w:val="20"/>
          <w:lang w:val="en-GB"/>
        </w:rPr>
        <w:t xml:space="preserve"> Bank in advancing the Kyrgyz Republic’s green finance agenda. As a potential Direct Access Entity (DAE) to the Green Climate Fund (GCF), </w:t>
      </w:r>
      <w:proofErr w:type="spellStart"/>
      <w:r w:rsidRPr="007A1419">
        <w:rPr>
          <w:rFonts w:asciiTheme="minorHAnsi" w:hAnsiTheme="minorHAnsi"/>
          <w:sz w:val="20"/>
          <w:szCs w:val="20"/>
          <w:lang w:val="en-GB"/>
        </w:rPr>
        <w:t>Eldik</w:t>
      </w:r>
      <w:proofErr w:type="spellEnd"/>
      <w:r w:rsidRPr="007A1419">
        <w:rPr>
          <w:rFonts w:asciiTheme="minorHAnsi" w:hAnsiTheme="minorHAnsi"/>
          <w:sz w:val="20"/>
          <w:szCs w:val="20"/>
          <w:lang w:val="en-GB"/>
        </w:rPr>
        <w:t xml:space="preserve"> Bank has expressed a strong commitment to aligning its operations with international climate financing standards. However, it requires substantial support to navigate the rigorous accreditation process. Consultations with </w:t>
      </w:r>
      <w:proofErr w:type="spellStart"/>
      <w:r w:rsidRPr="007A1419">
        <w:rPr>
          <w:rFonts w:asciiTheme="minorHAnsi" w:hAnsiTheme="minorHAnsi"/>
          <w:sz w:val="20"/>
          <w:szCs w:val="20"/>
          <w:lang w:val="en-GB"/>
        </w:rPr>
        <w:t>Eldik</w:t>
      </w:r>
      <w:proofErr w:type="spellEnd"/>
      <w:r w:rsidRPr="007A1419">
        <w:rPr>
          <w:rFonts w:asciiTheme="minorHAnsi" w:hAnsiTheme="minorHAnsi"/>
          <w:sz w:val="20"/>
          <w:szCs w:val="20"/>
          <w:lang w:val="en-GB"/>
        </w:rPr>
        <w:t xml:space="preserve"> Bank revealed the</w:t>
      </w:r>
      <w:r w:rsidR="00AE128B">
        <w:rPr>
          <w:rFonts w:asciiTheme="minorHAnsi" w:hAnsiTheme="minorHAnsi"/>
          <w:sz w:val="20"/>
          <w:szCs w:val="20"/>
          <w:lang w:val="en-GB"/>
        </w:rPr>
        <w:t xml:space="preserve"> Bank is currently being supported by the GCF with</w:t>
      </w:r>
      <w:r w:rsidRPr="007A1419">
        <w:rPr>
          <w:rFonts w:asciiTheme="minorHAnsi" w:hAnsiTheme="minorHAnsi"/>
          <w:sz w:val="20"/>
          <w:szCs w:val="20"/>
          <w:lang w:val="en-GB"/>
        </w:rPr>
        <w:t xml:space="preserve"> tailored </w:t>
      </w:r>
      <w:r w:rsidRPr="00CA1FF2">
        <w:rPr>
          <w:rFonts w:asciiTheme="minorHAnsi" w:hAnsiTheme="minorHAnsi"/>
          <w:sz w:val="20"/>
          <w:szCs w:val="20"/>
          <w:lang w:val="en-GB"/>
        </w:rPr>
        <w:t xml:space="preserve">assistance in meeting GCF accreditation requirements, </w:t>
      </w:r>
      <w:r w:rsidR="00AE128B" w:rsidRPr="00CA1FF2">
        <w:rPr>
          <w:rFonts w:asciiTheme="minorHAnsi" w:hAnsiTheme="minorHAnsi"/>
          <w:sz w:val="20"/>
          <w:szCs w:val="20"/>
          <w:lang w:val="en-GB"/>
        </w:rPr>
        <w:t>wh</w:t>
      </w:r>
      <w:r w:rsidR="00644C45" w:rsidRPr="00CA1FF2">
        <w:rPr>
          <w:rFonts w:asciiTheme="minorHAnsi" w:hAnsiTheme="minorHAnsi"/>
          <w:sz w:val="20"/>
          <w:szCs w:val="20"/>
          <w:lang w:val="en-GB"/>
        </w:rPr>
        <w:t>i</w:t>
      </w:r>
      <w:r w:rsidR="00AE128B" w:rsidRPr="00CA1FF2">
        <w:rPr>
          <w:rFonts w:asciiTheme="minorHAnsi" w:hAnsiTheme="minorHAnsi"/>
          <w:sz w:val="20"/>
          <w:szCs w:val="20"/>
          <w:lang w:val="en-GB"/>
        </w:rPr>
        <w:t xml:space="preserve">le further </w:t>
      </w:r>
      <w:r w:rsidR="00644C45" w:rsidRPr="00CA1FF2">
        <w:rPr>
          <w:rFonts w:asciiTheme="minorHAnsi" w:hAnsiTheme="minorHAnsi"/>
          <w:sz w:val="20"/>
          <w:szCs w:val="20"/>
          <w:lang w:val="en-GB"/>
        </w:rPr>
        <w:t xml:space="preserve">support is needed to develop internal </w:t>
      </w:r>
      <w:r w:rsidR="00B90EFB" w:rsidRPr="00CA1FF2">
        <w:rPr>
          <w:rFonts w:asciiTheme="minorHAnsi" w:hAnsiTheme="minorHAnsi"/>
          <w:sz w:val="20"/>
          <w:szCs w:val="20"/>
          <w:lang w:val="en-GB"/>
        </w:rPr>
        <w:t xml:space="preserve">frameworks, </w:t>
      </w:r>
      <w:r w:rsidRPr="00CA1FF2">
        <w:rPr>
          <w:rFonts w:asciiTheme="minorHAnsi" w:hAnsiTheme="minorHAnsi"/>
          <w:sz w:val="20"/>
          <w:szCs w:val="20"/>
          <w:lang w:val="en-GB"/>
        </w:rPr>
        <w:t>particularly in areas such as environmental and social safeguards, financial reporting, and risk management systems</w:t>
      </w:r>
      <w:r w:rsidRPr="007A1419">
        <w:rPr>
          <w:rFonts w:asciiTheme="minorHAnsi" w:hAnsiTheme="minorHAnsi"/>
          <w:sz w:val="20"/>
          <w:szCs w:val="20"/>
          <w:lang w:val="en-GB"/>
        </w:rPr>
        <w:t xml:space="preserve">. Additionally, the readiness proposal includes provisions to support </w:t>
      </w:r>
      <w:proofErr w:type="spellStart"/>
      <w:r w:rsidRPr="007A1419">
        <w:rPr>
          <w:rFonts w:asciiTheme="minorHAnsi" w:hAnsiTheme="minorHAnsi"/>
          <w:sz w:val="20"/>
          <w:szCs w:val="20"/>
          <w:lang w:val="en-GB"/>
        </w:rPr>
        <w:t>Eldik</w:t>
      </w:r>
      <w:proofErr w:type="spellEnd"/>
      <w:r w:rsidRPr="007A1419">
        <w:rPr>
          <w:rFonts w:asciiTheme="minorHAnsi" w:hAnsiTheme="minorHAnsi"/>
          <w:sz w:val="20"/>
          <w:szCs w:val="20"/>
          <w:lang w:val="en-GB"/>
        </w:rPr>
        <w:t xml:space="preserve"> Bank in the creation of project concept</w:t>
      </w:r>
      <w:r w:rsidR="0035464C" w:rsidRPr="007A1419">
        <w:rPr>
          <w:rFonts w:asciiTheme="minorHAnsi" w:hAnsiTheme="minorHAnsi"/>
          <w:sz w:val="20"/>
          <w:szCs w:val="20"/>
          <w:lang w:val="en-GB"/>
        </w:rPr>
        <w:t>s</w:t>
      </w:r>
      <w:r w:rsidRPr="007A1419">
        <w:rPr>
          <w:rFonts w:asciiTheme="minorHAnsi" w:hAnsiTheme="minorHAnsi"/>
          <w:sz w:val="20"/>
          <w:szCs w:val="20"/>
          <w:lang w:val="en-GB"/>
        </w:rPr>
        <w:t xml:space="preserve"> for future submission to the GCF. This project concept will focus on scalable green initiatives, enabling </w:t>
      </w:r>
      <w:proofErr w:type="spellStart"/>
      <w:r w:rsidRPr="007A1419">
        <w:rPr>
          <w:rFonts w:asciiTheme="minorHAnsi" w:hAnsiTheme="minorHAnsi"/>
          <w:sz w:val="20"/>
          <w:szCs w:val="20"/>
          <w:lang w:val="en-GB"/>
        </w:rPr>
        <w:t>Eldik</w:t>
      </w:r>
      <w:proofErr w:type="spellEnd"/>
      <w:r w:rsidRPr="007A1419">
        <w:rPr>
          <w:rFonts w:asciiTheme="minorHAnsi" w:hAnsiTheme="minorHAnsi"/>
          <w:sz w:val="20"/>
          <w:szCs w:val="20"/>
          <w:lang w:val="en-GB"/>
        </w:rPr>
        <w:t xml:space="preserve"> Bank to mobilize significant resources for climate action and establish itself as a leading national institution in green finance.</w:t>
      </w:r>
    </w:p>
    <w:p w14:paraId="1E870C8B" w14:textId="77777777" w:rsidR="007A1419" w:rsidRDefault="00FD6E67">
      <w:pPr>
        <w:pStyle w:val="Default"/>
        <w:numPr>
          <w:ilvl w:val="0"/>
          <w:numId w:val="29"/>
        </w:numPr>
        <w:spacing w:after="240"/>
        <w:jc w:val="both"/>
        <w:rPr>
          <w:rFonts w:asciiTheme="minorHAnsi" w:hAnsiTheme="minorHAnsi"/>
          <w:sz w:val="20"/>
          <w:szCs w:val="20"/>
          <w:lang w:val="en-GB"/>
        </w:rPr>
      </w:pPr>
      <w:r w:rsidRPr="007A1419">
        <w:rPr>
          <w:rFonts w:asciiTheme="minorHAnsi" w:hAnsiTheme="minorHAnsi"/>
          <w:sz w:val="20"/>
          <w:szCs w:val="20"/>
          <w:lang w:val="en-GB"/>
        </w:rPr>
        <w:t>The Union of Banks of Kyrgyzstan also plays a pivotal role in the ecosystem as a platform for capacity building in verification and validation expertise. Through its Sustainable Development Academy, the Union of Banks facilitates training programs and knowledge exchange among financial institutions, equipping them with the technical skills required to evaluate and manage green projects. These training initiatives are critical for ensuring the integrity and effectiveness of climate finance, as they help establish a pool of qualified professionals capable of implementing global standards for green project validation and monitoring. By supporting the Union of Banks in expanding its capacity-building programs, the readiness proposal strengthens the foundational expertise within Kyrgyzstan’s financial sector, fostering a collaborative network that advances the country’s climate and sustainability objectives. This approach ensures a cohesive framework where both public and private stakeholders work in unison toward shared climate goals.</w:t>
      </w:r>
    </w:p>
    <w:p w14:paraId="5B2DD6AE" w14:textId="77777777" w:rsidR="007A1419" w:rsidRDefault="005E282F">
      <w:pPr>
        <w:pStyle w:val="Default"/>
        <w:numPr>
          <w:ilvl w:val="0"/>
          <w:numId w:val="29"/>
        </w:numPr>
        <w:spacing w:after="240"/>
        <w:jc w:val="both"/>
        <w:rPr>
          <w:rFonts w:asciiTheme="minorHAnsi" w:hAnsiTheme="minorHAnsi"/>
          <w:sz w:val="20"/>
          <w:szCs w:val="20"/>
          <w:lang w:val="en-GB"/>
        </w:rPr>
      </w:pPr>
      <w:r w:rsidRPr="007A1419">
        <w:rPr>
          <w:rFonts w:asciiTheme="minorHAnsi" w:hAnsiTheme="minorHAnsi"/>
          <w:sz w:val="20"/>
          <w:szCs w:val="20"/>
          <w:lang w:val="en-GB"/>
        </w:rPr>
        <w:t>The UNDP technical team leveraged its prior work, including the Green Finance Market Assessment</w:t>
      </w:r>
      <w:r>
        <w:rPr>
          <w:rStyle w:val="FootnoteReference"/>
          <w:rFonts w:asciiTheme="minorHAnsi" w:hAnsiTheme="minorHAnsi"/>
          <w:sz w:val="20"/>
          <w:szCs w:val="20"/>
          <w:lang w:val="en-GB"/>
        </w:rPr>
        <w:footnoteReference w:id="91"/>
      </w:r>
      <w:r w:rsidRPr="007A1419">
        <w:rPr>
          <w:rFonts w:asciiTheme="minorHAnsi" w:hAnsiTheme="minorHAnsi"/>
          <w:sz w:val="20"/>
          <w:szCs w:val="20"/>
          <w:lang w:val="en-GB"/>
        </w:rPr>
        <w:t xml:space="preserve"> and the Feasibility Study for the Establishment of a Green Finance Facility</w:t>
      </w:r>
      <w:r>
        <w:rPr>
          <w:rStyle w:val="FootnoteReference"/>
          <w:rFonts w:asciiTheme="minorHAnsi" w:hAnsiTheme="minorHAnsi"/>
          <w:sz w:val="20"/>
          <w:szCs w:val="20"/>
          <w:lang w:val="en-GB"/>
        </w:rPr>
        <w:footnoteReference w:id="92"/>
      </w:r>
      <w:r w:rsidRPr="007A1419">
        <w:rPr>
          <w:rFonts w:asciiTheme="minorHAnsi" w:hAnsiTheme="minorHAnsi"/>
          <w:sz w:val="20"/>
          <w:szCs w:val="20"/>
          <w:lang w:val="en-GB"/>
        </w:rPr>
        <w:t>.</w:t>
      </w:r>
      <w:r w:rsidR="004C095D" w:rsidRPr="007A1419">
        <w:rPr>
          <w:rFonts w:asciiTheme="minorHAnsi" w:hAnsiTheme="minorHAnsi"/>
          <w:sz w:val="20"/>
          <w:szCs w:val="20"/>
          <w:lang w:val="en-GB"/>
        </w:rPr>
        <w:t xml:space="preserve"> </w:t>
      </w:r>
      <w:r w:rsidRPr="007A1419">
        <w:rPr>
          <w:rFonts w:asciiTheme="minorHAnsi" w:hAnsiTheme="minorHAnsi"/>
          <w:sz w:val="20"/>
          <w:szCs w:val="20"/>
          <w:lang w:val="en-GB"/>
        </w:rPr>
        <w:t>These efforts involved extensive stakeholder consultations and targeted surveys, providing a strong foundation for the proposal. This understanding was further enhanced by the recently finalized and published Concept of the Development of Climate Finance in the Kyrgyz Republic</w:t>
      </w:r>
      <w:r>
        <w:rPr>
          <w:rStyle w:val="FootnoteReference"/>
          <w:rFonts w:asciiTheme="minorHAnsi" w:hAnsiTheme="minorHAnsi"/>
          <w:sz w:val="20"/>
          <w:szCs w:val="20"/>
          <w:lang w:val="en-GB"/>
        </w:rPr>
        <w:footnoteReference w:id="93"/>
      </w:r>
      <w:r w:rsidRPr="007A1419">
        <w:rPr>
          <w:rFonts w:asciiTheme="minorHAnsi" w:hAnsiTheme="minorHAnsi"/>
          <w:sz w:val="20"/>
          <w:szCs w:val="20"/>
          <w:lang w:val="en-GB"/>
        </w:rPr>
        <w:t>, developed under the Climate Promise Project. This comprehensive approach ensured the proposal was well-informed and aligned with the country’s green finance agenda.</w:t>
      </w:r>
    </w:p>
    <w:p w14:paraId="454C236D" w14:textId="745E27E8" w:rsidR="005E282F" w:rsidRPr="007A1419" w:rsidRDefault="005E282F">
      <w:pPr>
        <w:pStyle w:val="Default"/>
        <w:numPr>
          <w:ilvl w:val="0"/>
          <w:numId w:val="29"/>
        </w:numPr>
        <w:spacing w:after="240"/>
        <w:jc w:val="both"/>
        <w:rPr>
          <w:rFonts w:asciiTheme="minorHAnsi" w:hAnsiTheme="minorHAnsi"/>
          <w:sz w:val="20"/>
          <w:szCs w:val="20"/>
          <w:lang w:val="en-GB"/>
        </w:rPr>
      </w:pPr>
      <w:r w:rsidRPr="007A1419">
        <w:rPr>
          <w:rFonts w:asciiTheme="minorHAnsi" w:hAnsiTheme="minorHAnsi"/>
          <w:sz w:val="20"/>
          <w:szCs w:val="20"/>
          <w:lang w:val="en-GB"/>
        </w:rPr>
        <w:t>During the implementation of this proposed Readiness Project, the key stakeholders to be engaged as per the below table.</w:t>
      </w:r>
    </w:p>
    <w:p w14:paraId="78136C2E" w14:textId="0D17CE57" w:rsidR="003F7449" w:rsidRPr="00FD6E67" w:rsidRDefault="003F7449" w:rsidP="00120D38">
      <w:pPr>
        <w:spacing w:before="120" w:after="120" w:line="240" w:lineRule="auto"/>
        <w:ind w:right="-28"/>
        <w:jc w:val="both"/>
        <w:rPr>
          <w:rStyle w:val="DefaultText"/>
          <w:color w:val="auto"/>
        </w:rPr>
      </w:pPr>
      <w:r w:rsidRPr="00FD6E67">
        <w:rPr>
          <w:rStyle w:val="DefaultText"/>
          <w:color w:val="auto"/>
        </w:rPr>
        <w:t>Table 2.</w:t>
      </w:r>
      <w:r w:rsidRPr="00FD6E67">
        <w:t xml:space="preserve"> </w:t>
      </w:r>
      <w:r w:rsidRPr="00FD6E67">
        <w:rPr>
          <w:rStyle w:val="DefaultText"/>
          <w:color w:val="auto"/>
        </w:rPr>
        <w:t>Stakeholder engagement</w:t>
      </w:r>
    </w:p>
    <w:tbl>
      <w:tblPr>
        <w:tblStyle w:val="TableGrid"/>
        <w:tblW w:w="5000" w:type="pct"/>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2875"/>
        <w:gridCol w:w="6142"/>
      </w:tblGrid>
      <w:tr w:rsidR="00FD6E67" w:rsidRPr="00CA1FF2" w14:paraId="1C40E2E0" w14:textId="77777777" w:rsidTr="00797FE8">
        <w:trPr>
          <w:tblHeader/>
        </w:trPr>
        <w:tc>
          <w:tcPr>
            <w:tcW w:w="1594" w:type="pct"/>
            <w:shd w:val="clear" w:color="auto" w:fill="3494BA" w:themeFill="accent1"/>
          </w:tcPr>
          <w:p w14:paraId="61A8601D" w14:textId="77777777" w:rsidR="00FD6E67" w:rsidRPr="00CA1FF2" w:rsidRDefault="00FD6E67">
            <w:pPr>
              <w:pStyle w:val="ParrInforme"/>
              <w:keepNext w:val="0"/>
              <w:spacing w:before="120" w:line="240" w:lineRule="auto"/>
              <w:rPr>
                <w:rFonts w:ascii="Arial" w:hAnsi="Arial" w:cs="Arial"/>
                <w:b/>
                <w:bCs/>
                <w:color w:val="FFFFFF" w:themeColor="background1"/>
                <w:sz w:val="18"/>
                <w:szCs w:val="18"/>
                <w:lang w:val="en-GB"/>
              </w:rPr>
            </w:pPr>
            <w:r w:rsidRPr="00CA1FF2">
              <w:rPr>
                <w:rFonts w:ascii="Arial" w:hAnsi="Arial" w:cs="Arial"/>
                <w:b/>
                <w:bCs/>
                <w:color w:val="FFFFFF" w:themeColor="background1"/>
                <w:sz w:val="18"/>
                <w:szCs w:val="18"/>
                <w:lang w:val="en-GB"/>
              </w:rPr>
              <w:lastRenderedPageBreak/>
              <w:t>Stakeholder</w:t>
            </w:r>
          </w:p>
        </w:tc>
        <w:tc>
          <w:tcPr>
            <w:tcW w:w="3406" w:type="pct"/>
            <w:shd w:val="clear" w:color="auto" w:fill="3494BA" w:themeFill="accent1"/>
          </w:tcPr>
          <w:p w14:paraId="137C2269" w14:textId="77777777" w:rsidR="00FD6E67" w:rsidRPr="00CA1FF2" w:rsidRDefault="00FD6E67">
            <w:pPr>
              <w:pStyle w:val="ParrInforme"/>
              <w:keepNext w:val="0"/>
              <w:spacing w:before="120" w:line="240" w:lineRule="auto"/>
              <w:rPr>
                <w:rFonts w:ascii="Arial" w:hAnsi="Arial" w:cs="Arial"/>
                <w:b/>
                <w:bCs/>
                <w:color w:val="FFFFFF" w:themeColor="background1"/>
                <w:sz w:val="18"/>
                <w:szCs w:val="18"/>
                <w:lang w:val="en-GB"/>
              </w:rPr>
            </w:pPr>
            <w:r w:rsidRPr="00CA1FF2">
              <w:rPr>
                <w:rFonts w:ascii="Arial" w:hAnsi="Arial" w:cs="Arial"/>
                <w:b/>
                <w:bCs/>
                <w:color w:val="FFFFFF" w:themeColor="background1"/>
                <w:sz w:val="18"/>
                <w:szCs w:val="18"/>
                <w:lang w:val="en-GB"/>
              </w:rPr>
              <w:t>Role and how it will be engaged in the project</w:t>
            </w:r>
          </w:p>
        </w:tc>
      </w:tr>
      <w:tr w:rsidR="00FD6E67" w:rsidRPr="00CA1FF2" w14:paraId="75A2A98B" w14:textId="77777777" w:rsidTr="00797FE8">
        <w:tc>
          <w:tcPr>
            <w:tcW w:w="1594" w:type="pct"/>
          </w:tcPr>
          <w:p w14:paraId="004C5EDB" w14:textId="77777777" w:rsidR="00FD6E67" w:rsidRPr="00CA1FF2" w:rsidRDefault="00FD6E67">
            <w:pPr>
              <w:pStyle w:val="ParrInforme"/>
              <w:keepNext w:val="0"/>
              <w:spacing w:before="120" w:line="240" w:lineRule="auto"/>
              <w:rPr>
                <w:rFonts w:ascii="Arial" w:hAnsi="Arial" w:cs="Arial"/>
                <w:sz w:val="18"/>
                <w:szCs w:val="18"/>
                <w:lang w:val="en-GB"/>
              </w:rPr>
            </w:pPr>
            <w:r w:rsidRPr="00CA1FF2">
              <w:rPr>
                <w:rFonts w:ascii="Arial" w:hAnsi="Arial" w:cs="Arial"/>
                <w:sz w:val="18"/>
                <w:szCs w:val="18"/>
                <w:lang w:val="en-GB"/>
              </w:rPr>
              <w:t>MNRETS (Ministry of Natural Resources, Ecology, and Technical Supervision)</w:t>
            </w:r>
          </w:p>
        </w:tc>
        <w:tc>
          <w:tcPr>
            <w:tcW w:w="3406" w:type="pct"/>
          </w:tcPr>
          <w:p w14:paraId="0CDFA2DF" w14:textId="77777777" w:rsidR="00FD6E67" w:rsidRPr="00CA1FF2" w:rsidRDefault="00FD6E67" w:rsidP="00163FD5">
            <w:pPr>
              <w:pStyle w:val="ParrInforme"/>
              <w:numPr>
                <w:ilvl w:val="0"/>
                <w:numId w:val="20"/>
              </w:numPr>
              <w:spacing w:after="0" w:line="240" w:lineRule="auto"/>
              <w:rPr>
                <w:rFonts w:ascii="Arial" w:hAnsi="Arial" w:cs="Arial"/>
                <w:sz w:val="18"/>
                <w:szCs w:val="18"/>
                <w:lang w:val="en-GB"/>
              </w:rPr>
            </w:pPr>
            <w:r w:rsidRPr="00CA1FF2">
              <w:rPr>
                <w:rFonts w:ascii="Arial" w:hAnsi="Arial" w:cs="Arial"/>
                <w:sz w:val="18"/>
                <w:szCs w:val="18"/>
                <w:lang w:val="en-GB"/>
              </w:rPr>
              <w:t>National Designated Authority (NDA) for the GCF</w:t>
            </w:r>
          </w:p>
          <w:p w14:paraId="7A77F809" w14:textId="77777777" w:rsidR="00FD6E67" w:rsidRPr="00CA1FF2" w:rsidRDefault="00FD6E67" w:rsidP="00163FD5">
            <w:pPr>
              <w:pStyle w:val="ParrInforme"/>
              <w:numPr>
                <w:ilvl w:val="0"/>
                <w:numId w:val="20"/>
              </w:numPr>
              <w:spacing w:after="0" w:line="240" w:lineRule="auto"/>
              <w:rPr>
                <w:rFonts w:ascii="Arial" w:hAnsi="Arial" w:cs="Arial"/>
                <w:sz w:val="18"/>
                <w:szCs w:val="18"/>
                <w:lang w:val="en-GB"/>
              </w:rPr>
            </w:pPr>
            <w:r w:rsidRPr="00CA1FF2">
              <w:rPr>
                <w:rFonts w:ascii="Arial" w:hAnsi="Arial" w:cs="Arial"/>
                <w:sz w:val="18"/>
                <w:szCs w:val="18"/>
                <w:lang w:val="en-GB"/>
              </w:rPr>
              <w:t>strategic oversight</w:t>
            </w:r>
          </w:p>
          <w:p w14:paraId="6773743C" w14:textId="77777777" w:rsidR="00FD6E67" w:rsidRPr="00CA1FF2" w:rsidRDefault="00FD6E67" w:rsidP="00163FD5">
            <w:pPr>
              <w:pStyle w:val="ParrInforme"/>
              <w:numPr>
                <w:ilvl w:val="0"/>
                <w:numId w:val="20"/>
              </w:numPr>
              <w:spacing w:after="0" w:line="240" w:lineRule="auto"/>
              <w:rPr>
                <w:rFonts w:ascii="Arial" w:hAnsi="Arial" w:cs="Arial"/>
                <w:sz w:val="18"/>
                <w:szCs w:val="18"/>
                <w:lang w:val="en-GB"/>
              </w:rPr>
            </w:pPr>
            <w:r w:rsidRPr="00CA1FF2">
              <w:rPr>
                <w:rFonts w:ascii="Arial" w:hAnsi="Arial" w:cs="Arial"/>
                <w:sz w:val="18"/>
                <w:szCs w:val="18"/>
                <w:lang w:val="en-GB"/>
              </w:rPr>
              <w:t>alignment with national climate priorities</w:t>
            </w:r>
          </w:p>
          <w:p w14:paraId="533EFFFB" w14:textId="77777777" w:rsidR="00FD6E67" w:rsidRPr="00CA1FF2" w:rsidRDefault="00FD6E67" w:rsidP="00163FD5">
            <w:pPr>
              <w:pStyle w:val="ParrInforme"/>
              <w:numPr>
                <w:ilvl w:val="0"/>
                <w:numId w:val="20"/>
              </w:numPr>
              <w:spacing w:after="0" w:line="240" w:lineRule="auto"/>
              <w:rPr>
                <w:rFonts w:ascii="Arial" w:hAnsi="Arial" w:cs="Arial"/>
                <w:sz w:val="18"/>
                <w:szCs w:val="18"/>
                <w:lang w:val="en-GB"/>
              </w:rPr>
            </w:pPr>
            <w:r w:rsidRPr="00CA1FF2">
              <w:rPr>
                <w:rFonts w:ascii="Arial" w:hAnsi="Arial" w:cs="Arial"/>
                <w:sz w:val="18"/>
                <w:szCs w:val="18"/>
                <w:lang w:val="en-GB"/>
              </w:rPr>
              <w:t>facilitation stakeholder coordination during project implementation</w:t>
            </w:r>
          </w:p>
          <w:p w14:paraId="32EF2663" w14:textId="77777777" w:rsidR="00FD6E67" w:rsidRPr="00CA1FF2" w:rsidRDefault="00FD6E67" w:rsidP="00163FD5">
            <w:pPr>
              <w:pStyle w:val="ParrInforme"/>
              <w:numPr>
                <w:ilvl w:val="0"/>
                <w:numId w:val="20"/>
              </w:numPr>
              <w:spacing w:after="0" w:line="240" w:lineRule="auto"/>
              <w:rPr>
                <w:rFonts w:ascii="Arial" w:hAnsi="Arial" w:cs="Arial"/>
                <w:sz w:val="18"/>
                <w:szCs w:val="18"/>
                <w:lang w:val="en-GB"/>
              </w:rPr>
            </w:pPr>
            <w:r w:rsidRPr="00CA1FF2">
              <w:rPr>
                <w:rFonts w:ascii="Arial" w:hAnsi="Arial" w:cs="Arial"/>
                <w:sz w:val="18"/>
                <w:szCs w:val="18"/>
                <w:lang w:val="en-GB"/>
              </w:rPr>
              <w:t xml:space="preserve">leadership in high-level policy dialogues </w:t>
            </w:r>
          </w:p>
          <w:p w14:paraId="1BA07484" w14:textId="77777777" w:rsidR="00FD6E67" w:rsidRPr="00CA1FF2" w:rsidRDefault="00FD6E67" w:rsidP="00163FD5">
            <w:pPr>
              <w:pStyle w:val="ParrInforme"/>
              <w:numPr>
                <w:ilvl w:val="0"/>
                <w:numId w:val="20"/>
              </w:numPr>
              <w:spacing w:after="0" w:line="240" w:lineRule="auto"/>
              <w:rPr>
                <w:rFonts w:ascii="Arial" w:hAnsi="Arial" w:cs="Arial"/>
                <w:sz w:val="18"/>
                <w:szCs w:val="18"/>
                <w:lang w:val="en-GB"/>
              </w:rPr>
            </w:pPr>
            <w:r w:rsidRPr="00CA1FF2">
              <w:rPr>
                <w:rFonts w:ascii="Arial" w:hAnsi="Arial" w:cs="Arial"/>
                <w:sz w:val="18"/>
                <w:szCs w:val="18"/>
                <w:lang w:val="en-GB"/>
              </w:rPr>
              <w:t>validation of project outcomes to ensure national ownership</w:t>
            </w:r>
          </w:p>
        </w:tc>
      </w:tr>
      <w:tr w:rsidR="00FD6E67" w:rsidRPr="00CA1FF2" w14:paraId="3BB7CEA8" w14:textId="77777777" w:rsidTr="00797FE8">
        <w:tc>
          <w:tcPr>
            <w:tcW w:w="1594" w:type="pct"/>
          </w:tcPr>
          <w:p w14:paraId="7C4F1F2C" w14:textId="77777777" w:rsidR="00FD6E67" w:rsidRPr="00CA1FF2" w:rsidRDefault="00FD6E67">
            <w:pPr>
              <w:pStyle w:val="ParrInforme"/>
              <w:keepNext w:val="0"/>
              <w:spacing w:before="120" w:line="240" w:lineRule="auto"/>
              <w:rPr>
                <w:rFonts w:ascii="Arial" w:hAnsi="Arial" w:cs="Arial"/>
                <w:sz w:val="18"/>
                <w:szCs w:val="18"/>
                <w:lang w:val="en-GB"/>
              </w:rPr>
            </w:pPr>
            <w:proofErr w:type="spellStart"/>
            <w:r w:rsidRPr="00CA1FF2">
              <w:rPr>
                <w:rFonts w:ascii="Arial" w:hAnsi="Arial" w:cs="Arial"/>
                <w:sz w:val="18"/>
                <w:szCs w:val="18"/>
                <w:lang w:val="en-GB"/>
              </w:rPr>
              <w:t>MoEC</w:t>
            </w:r>
            <w:proofErr w:type="spellEnd"/>
            <w:r w:rsidRPr="00CA1FF2">
              <w:rPr>
                <w:rFonts w:ascii="Arial" w:hAnsi="Arial" w:cs="Arial"/>
                <w:sz w:val="18"/>
                <w:szCs w:val="18"/>
                <w:lang w:val="en-GB"/>
              </w:rPr>
              <w:t xml:space="preserve"> (Ministry of Economy and Commerce)</w:t>
            </w:r>
          </w:p>
        </w:tc>
        <w:tc>
          <w:tcPr>
            <w:tcW w:w="3406" w:type="pct"/>
          </w:tcPr>
          <w:p w14:paraId="026BC78F" w14:textId="77777777" w:rsidR="00FD6E67" w:rsidRPr="00CA1FF2" w:rsidRDefault="00FD6E67" w:rsidP="00163FD5">
            <w:pPr>
              <w:pStyle w:val="ListParagraph"/>
              <w:numPr>
                <w:ilvl w:val="0"/>
                <w:numId w:val="21"/>
              </w:numPr>
              <w:rPr>
                <w:rFonts w:ascii="Arial" w:hAnsi="Arial" w:cs="Arial"/>
                <w:sz w:val="18"/>
                <w:szCs w:val="18"/>
              </w:rPr>
            </w:pPr>
            <w:r w:rsidRPr="00CA1FF2">
              <w:rPr>
                <w:rFonts w:ascii="Arial" w:hAnsi="Arial" w:cs="Arial"/>
                <w:sz w:val="18"/>
                <w:szCs w:val="18"/>
              </w:rPr>
              <w:t xml:space="preserve">green finance policies integration into economic strategies </w:t>
            </w:r>
          </w:p>
          <w:p w14:paraId="7BD37410" w14:textId="77777777" w:rsidR="00FD6E67" w:rsidRPr="00CA1FF2" w:rsidRDefault="00FD6E67" w:rsidP="00163FD5">
            <w:pPr>
              <w:pStyle w:val="ListParagraph"/>
              <w:numPr>
                <w:ilvl w:val="0"/>
                <w:numId w:val="21"/>
              </w:numPr>
              <w:rPr>
                <w:rFonts w:ascii="Arial" w:hAnsi="Arial" w:cs="Arial"/>
                <w:sz w:val="18"/>
                <w:szCs w:val="18"/>
              </w:rPr>
            </w:pPr>
            <w:r w:rsidRPr="00CA1FF2">
              <w:rPr>
                <w:rFonts w:ascii="Arial" w:hAnsi="Arial" w:cs="Arial"/>
                <w:sz w:val="18"/>
                <w:szCs w:val="18"/>
              </w:rPr>
              <w:t>promotion of fiscal and regulatory incentives for green investments</w:t>
            </w:r>
          </w:p>
          <w:p w14:paraId="7A189614" w14:textId="77777777" w:rsidR="00FD6E67" w:rsidRPr="00CA1FF2" w:rsidRDefault="00FD6E67" w:rsidP="00163FD5">
            <w:pPr>
              <w:pStyle w:val="ListParagraph"/>
              <w:numPr>
                <w:ilvl w:val="0"/>
                <w:numId w:val="21"/>
              </w:numPr>
              <w:rPr>
                <w:rFonts w:ascii="Arial" w:hAnsi="Arial" w:cs="Arial"/>
                <w:sz w:val="18"/>
                <w:szCs w:val="18"/>
              </w:rPr>
            </w:pPr>
            <w:r w:rsidRPr="00CA1FF2">
              <w:rPr>
                <w:rFonts w:ascii="Arial" w:hAnsi="Arial" w:cs="Arial"/>
                <w:sz w:val="18"/>
                <w:szCs w:val="18"/>
              </w:rPr>
              <w:t>operationalization of the Green Taxonomy</w:t>
            </w:r>
          </w:p>
          <w:p w14:paraId="1C426F62" w14:textId="77777777" w:rsidR="00FD6E67" w:rsidRPr="00CA1FF2" w:rsidRDefault="00FD6E67" w:rsidP="00163FD5">
            <w:pPr>
              <w:pStyle w:val="ListParagraph"/>
              <w:numPr>
                <w:ilvl w:val="0"/>
                <w:numId w:val="21"/>
              </w:numPr>
              <w:rPr>
                <w:rFonts w:ascii="Arial" w:hAnsi="Arial" w:cs="Arial"/>
                <w:sz w:val="18"/>
                <w:szCs w:val="18"/>
              </w:rPr>
            </w:pPr>
            <w:r w:rsidRPr="00CA1FF2">
              <w:rPr>
                <w:rFonts w:ascii="Arial" w:hAnsi="Arial" w:cs="Arial"/>
                <w:sz w:val="18"/>
                <w:szCs w:val="18"/>
              </w:rPr>
              <w:t>collaboration on developing regulatory frameworks</w:t>
            </w:r>
          </w:p>
        </w:tc>
      </w:tr>
      <w:tr w:rsidR="00FD6E67" w:rsidRPr="00CA1FF2" w14:paraId="5B4D9790" w14:textId="77777777" w:rsidTr="00797FE8">
        <w:tc>
          <w:tcPr>
            <w:tcW w:w="1594" w:type="pct"/>
          </w:tcPr>
          <w:p w14:paraId="157FC486" w14:textId="77777777" w:rsidR="00FD6E67" w:rsidRPr="00CA1FF2" w:rsidRDefault="00FD6E67">
            <w:pPr>
              <w:pStyle w:val="ParrInforme"/>
              <w:keepNext w:val="0"/>
              <w:spacing w:before="120" w:line="240" w:lineRule="auto"/>
              <w:rPr>
                <w:rFonts w:ascii="Arial" w:hAnsi="Arial" w:cs="Arial"/>
                <w:sz w:val="18"/>
                <w:szCs w:val="18"/>
                <w:lang w:val="en-GB"/>
              </w:rPr>
            </w:pPr>
            <w:r w:rsidRPr="00CA1FF2">
              <w:rPr>
                <w:rFonts w:ascii="Arial" w:hAnsi="Arial" w:cs="Arial"/>
                <w:sz w:val="18"/>
                <w:szCs w:val="18"/>
                <w:lang w:val="en-GB"/>
              </w:rPr>
              <w:t>NBKR (National Bank of the Kyrgyz Republic)</w:t>
            </w:r>
          </w:p>
        </w:tc>
        <w:tc>
          <w:tcPr>
            <w:tcW w:w="3406" w:type="pct"/>
          </w:tcPr>
          <w:p w14:paraId="61A2F2B6" w14:textId="77777777" w:rsidR="00FD6E67" w:rsidRPr="00CA1FF2" w:rsidRDefault="00FD6E67" w:rsidP="00163FD5">
            <w:pPr>
              <w:pStyle w:val="ListParagraph"/>
              <w:numPr>
                <w:ilvl w:val="0"/>
                <w:numId w:val="22"/>
              </w:numPr>
              <w:rPr>
                <w:rFonts w:ascii="Arial" w:hAnsi="Arial" w:cs="Arial"/>
                <w:sz w:val="18"/>
                <w:szCs w:val="18"/>
              </w:rPr>
            </w:pPr>
            <w:r w:rsidRPr="00CA1FF2">
              <w:rPr>
                <w:rFonts w:ascii="Arial" w:hAnsi="Arial" w:cs="Arial"/>
                <w:sz w:val="18"/>
                <w:szCs w:val="18"/>
              </w:rPr>
              <w:t>regulation of the financial sector</w:t>
            </w:r>
          </w:p>
          <w:p w14:paraId="43462C80" w14:textId="77777777" w:rsidR="00FD6E67" w:rsidRPr="00CA1FF2" w:rsidRDefault="00FD6E67" w:rsidP="00163FD5">
            <w:pPr>
              <w:pStyle w:val="ListParagraph"/>
              <w:numPr>
                <w:ilvl w:val="0"/>
                <w:numId w:val="22"/>
              </w:numPr>
              <w:rPr>
                <w:rFonts w:ascii="Arial" w:hAnsi="Arial" w:cs="Arial"/>
                <w:sz w:val="18"/>
                <w:szCs w:val="18"/>
              </w:rPr>
            </w:pPr>
            <w:r w:rsidRPr="00CA1FF2">
              <w:rPr>
                <w:rFonts w:ascii="Arial" w:hAnsi="Arial" w:cs="Arial"/>
                <w:sz w:val="18"/>
                <w:szCs w:val="18"/>
              </w:rPr>
              <w:t>compliance with national and international green finance standards</w:t>
            </w:r>
          </w:p>
          <w:p w14:paraId="7625F20E" w14:textId="77777777" w:rsidR="00FD6E67" w:rsidRPr="00CA1FF2" w:rsidRDefault="00FD6E67" w:rsidP="00163FD5">
            <w:pPr>
              <w:pStyle w:val="ListParagraph"/>
              <w:numPr>
                <w:ilvl w:val="0"/>
                <w:numId w:val="22"/>
              </w:numPr>
              <w:rPr>
                <w:rFonts w:ascii="Arial" w:hAnsi="Arial" w:cs="Arial"/>
                <w:sz w:val="18"/>
                <w:szCs w:val="18"/>
              </w:rPr>
            </w:pPr>
            <w:r w:rsidRPr="00CA1FF2">
              <w:rPr>
                <w:rFonts w:ascii="Arial" w:hAnsi="Arial" w:cs="Arial"/>
                <w:sz w:val="18"/>
                <w:szCs w:val="18"/>
              </w:rPr>
              <w:t>development of guidelines on climate risk management</w:t>
            </w:r>
          </w:p>
          <w:p w14:paraId="28C3EED6" w14:textId="77777777" w:rsidR="00FD6E67" w:rsidRPr="00CA1FF2" w:rsidRDefault="00FD6E67" w:rsidP="00163FD5">
            <w:pPr>
              <w:pStyle w:val="ListParagraph"/>
              <w:numPr>
                <w:ilvl w:val="0"/>
                <w:numId w:val="22"/>
              </w:numPr>
              <w:rPr>
                <w:rFonts w:ascii="Arial" w:hAnsi="Arial" w:cs="Arial"/>
                <w:sz w:val="18"/>
                <w:szCs w:val="18"/>
              </w:rPr>
            </w:pPr>
            <w:r w:rsidRPr="00CA1FF2">
              <w:rPr>
                <w:rFonts w:ascii="Arial" w:hAnsi="Arial" w:cs="Arial"/>
                <w:sz w:val="18"/>
                <w:szCs w:val="18"/>
              </w:rPr>
              <w:t>development of disclosure requirements</w:t>
            </w:r>
          </w:p>
          <w:p w14:paraId="7FAE4302" w14:textId="77777777" w:rsidR="00FD6E67" w:rsidRPr="00CA1FF2" w:rsidRDefault="00FD6E67" w:rsidP="00163FD5">
            <w:pPr>
              <w:pStyle w:val="ListParagraph"/>
              <w:numPr>
                <w:ilvl w:val="0"/>
                <w:numId w:val="22"/>
              </w:numPr>
              <w:rPr>
                <w:rFonts w:ascii="Arial" w:hAnsi="Arial" w:cs="Arial"/>
                <w:sz w:val="18"/>
                <w:szCs w:val="18"/>
              </w:rPr>
            </w:pPr>
            <w:r w:rsidRPr="00CA1FF2">
              <w:rPr>
                <w:rFonts w:ascii="Arial" w:hAnsi="Arial" w:cs="Arial"/>
                <w:sz w:val="18"/>
                <w:szCs w:val="18"/>
              </w:rPr>
              <w:t>creation of prudential incentives for green lending</w:t>
            </w:r>
          </w:p>
        </w:tc>
      </w:tr>
      <w:tr w:rsidR="00FD6E67" w:rsidRPr="00CA1FF2" w14:paraId="3AAC16E4" w14:textId="77777777" w:rsidTr="00797FE8">
        <w:tc>
          <w:tcPr>
            <w:tcW w:w="1594" w:type="pct"/>
          </w:tcPr>
          <w:p w14:paraId="4ABC689F" w14:textId="77777777" w:rsidR="00FD6E67" w:rsidRPr="00CA1FF2" w:rsidRDefault="00FD6E67">
            <w:pPr>
              <w:pStyle w:val="ParrInforme"/>
              <w:keepNext w:val="0"/>
              <w:spacing w:before="120" w:line="240" w:lineRule="auto"/>
              <w:rPr>
                <w:rFonts w:ascii="Arial" w:hAnsi="Arial" w:cs="Arial"/>
                <w:sz w:val="18"/>
                <w:szCs w:val="18"/>
                <w:lang w:val="en-GB"/>
              </w:rPr>
            </w:pPr>
            <w:r w:rsidRPr="00CA1FF2">
              <w:rPr>
                <w:rFonts w:ascii="Arial" w:hAnsi="Arial" w:cs="Arial"/>
                <w:sz w:val="18"/>
                <w:szCs w:val="18"/>
                <w:lang w:val="en-GB"/>
              </w:rPr>
              <w:t>CFC (Climate Finance Center)</w:t>
            </w:r>
          </w:p>
        </w:tc>
        <w:tc>
          <w:tcPr>
            <w:tcW w:w="3406" w:type="pct"/>
          </w:tcPr>
          <w:p w14:paraId="39067886" w14:textId="77777777" w:rsidR="00FD6E67" w:rsidRPr="00CA1FF2" w:rsidRDefault="00FD6E67" w:rsidP="00163FD5">
            <w:pPr>
              <w:pStyle w:val="ListParagraph"/>
              <w:numPr>
                <w:ilvl w:val="0"/>
                <w:numId w:val="23"/>
              </w:numPr>
              <w:rPr>
                <w:rFonts w:ascii="Arial" w:hAnsi="Arial" w:cs="Arial"/>
                <w:sz w:val="18"/>
                <w:szCs w:val="18"/>
              </w:rPr>
            </w:pPr>
            <w:r w:rsidRPr="00CA1FF2">
              <w:rPr>
                <w:rFonts w:ascii="Arial" w:hAnsi="Arial" w:cs="Arial"/>
                <w:sz w:val="18"/>
                <w:szCs w:val="18"/>
              </w:rPr>
              <w:t>development and institutionalization of validation and verification systems</w:t>
            </w:r>
          </w:p>
          <w:p w14:paraId="484A8193" w14:textId="77777777" w:rsidR="00FD6E67" w:rsidRPr="00CA1FF2" w:rsidRDefault="00FD6E67" w:rsidP="00163FD5">
            <w:pPr>
              <w:pStyle w:val="ListParagraph"/>
              <w:numPr>
                <w:ilvl w:val="0"/>
                <w:numId w:val="23"/>
              </w:numPr>
              <w:rPr>
                <w:rFonts w:ascii="Arial" w:hAnsi="Arial" w:cs="Arial"/>
                <w:sz w:val="18"/>
                <w:szCs w:val="18"/>
              </w:rPr>
            </w:pPr>
            <w:r w:rsidRPr="00CA1FF2">
              <w:rPr>
                <w:rFonts w:ascii="Arial" w:hAnsi="Arial" w:cs="Arial"/>
                <w:sz w:val="18"/>
                <w:szCs w:val="18"/>
              </w:rPr>
              <w:t>leadership on stakeholder consultations</w:t>
            </w:r>
          </w:p>
          <w:p w14:paraId="6D59B685" w14:textId="77777777" w:rsidR="00FD6E67" w:rsidRPr="00CA1FF2" w:rsidRDefault="00FD6E67" w:rsidP="00163FD5">
            <w:pPr>
              <w:pStyle w:val="ListParagraph"/>
              <w:numPr>
                <w:ilvl w:val="0"/>
                <w:numId w:val="23"/>
              </w:numPr>
              <w:rPr>
                <w:rFonts w:ascii="Arial" w:hAnsi="Arial" w:cs="Arial"/>
                <w:sz w:val="18"/>
                <w:szCs w:val="18"/>
              </w:rPr>
            </w:pPr>
            <w:r w:rsidRPr="00CA1FF2">
              <w:rPr>
                <w:rFonts w:ascii="Arial" w:hAnsi="Arial" w:cs="Arial"/>
                <w:sz w:val="18"/>
                <w:szCs w:val="18"/>
              </w:rPr>
              <w:t>project pipeline structuring</w:t>
            </w:r>
          </w:p>
          <w:p w14:paraId="25BC0F85" w14:textId="77777777" w:rsidR="00FD6E67" w:rsidRPr="00CA1FF2" w:rsidRDefault="00FD6E67" w:rsidP="00163FD5">
            <w:pPr>
              <w:pStyle w:val="ListParagraph"/>
              <w:numPr>
                <w:ilvl w:val="0"/>
                <w:numId w:val="23"/>
              </w:numPr>
              <w:rPr>
                <w:rFonts w:ascii="Arial" w:hAnsi="Arial" w:cs="Arial"/>
                <w:sz w:val="18"/>
                <w:szCs w:val="18"/>
              </w:rPr>
            </w:pPr>
            <w:r w:rsidRPr="00CA1FF2">
              <w:rPr>
                <w:rFonts w:ascii="Arial" w:hAnsi="Arial" w:cs="Arial"/>
                <w:sz w:val="18"/>
                <w:szCs w:val="18"/>
              </w:rPr>
              <w:t>capacity-building efforts for national and private financial institutions</w:t>
            </w:r>
          </w:p>
        </w:tc>
      </w:tr>
      <w:tr w:rsidR="00FD6E67" w:rsidRPr="00CA1FF2" w14:paraId="30D79E5C" w14:textId="77777777" w:rsidTr="00797FE8">
        <w:tc>
          <w:tcPr>
            <w:tcW w:w="1594" w:type="pct"/>
          </w:tcPr>
          <w:p w14:paraId="76F6FDCB" w14:textId="462C9E7D" w:rsidR="00FD6E67" w:rsidRPr="00CA1FF2" w:rsidRDefault="00FD6E67">
            <w:pPr>
              <w:pStyle w:val="ParrInforme"/>
              <w:keepNext w:val="0"/>
              <w:spacing w:before="120" w:line="240" w:lineRule="auto"/>
              <w:rPr>
                <w:rFonts w:ascii="Arial" w:hAnsi="Arial" w:cs="Arial"/>
                <w:sz w:val="18"/>
                <w:szCs w:val="18"/>
                <w:lang w:val="en-GB"/>
              </w:rPr>
            </w:pPr>
            <w:r w:rsidRPr="00CA1FF2">
              <w:rPr>
                <w:rFonts w:ascii="Arial" w:hAnsi="Arial" w:cs="Arial"/>
                <w:sz w:val="18"/>
                <w:szCs w:val="18"/>
                <w:lang w:val="en-GB"/>
              </w:rPr>
              <w:t>Guarantee Fund</w:t>
            </w:r>
          </w:p>
        </w:tc>
        <w:tc>
          <w:tcPr>
            <w:tcW w:w="3406" w:type="pct"/>
          </w:tcPr>
          <w:p w14:paraId="7C735432" w14:textId="77777777" w:rsidR="00FD6E67" w:rsidRPr="00CA1FF2" w:rsidRDefault="00FD6E67" w:rsidP="00163FD5">
            <w:pPr>
              <w:pStyle w:val="ListParagraph"/>
              <w:numPr>
                <w:ilvl w:val="0"/>
                <w:numId w:val="23"/>
              </w:numPr>
              <w:rPr>
                <w:rFonts w:ascii="Arial" w:hAnsi="Arial" w:cs="Arial"/>
                <w:sz w:val="18"/>
                <w:szCs w:val="18"/>
              </w:rPr>
            </w:pPr>
            <w:r w:rsidRPr="00CA1FF2">
              <w:rPr>
                <w:rFonts w:ascii="Arial" w:hAnsi="Arial" w:cs="Arial"/>
                <w:sz w:val="18"/>
                <w:szCs w:val="18"/>
              </w:rPr>
              <w:t>de-risking solutions for green financial products</w:t>
            </w:r>
          </w:p>
          <w:p w14:paraId="6F720151" w14:textId="77777777" w:rsidR="00FD6E67" w:rsidRPr="00CA1FF2" w:rsidRDefault="00FD6E67" w:rsidP="00163FD5">
            <w:pPr>
              <w:pStyle w:val="ListParagraph"/>
              <w:numPr>
                <w:ilvl w:val="0"/>
                <w:numId w:val="23"/>
              </w:numPr>
              <w:rPr>
                <w:rFonts w:ascii="Arial" w:hAnsi="Arial" w:cs="Arial"/>
                <w:sz w:val="18"/>
                <w:szCs w:val="18"/>
              </w:rPr>
            </w:pPr>
            <w:r w:rsidRPr="00CA1FF2">
              <w:rPr>
                <w:rFonts w:ascii="Arial" w:hAnsi="Arial" w:cs="Arial"/>
                <w:sz w:val="18"/>
                <w:szCs w:val="18"/>
              </w:rPr>
              <w:t xml:space="preserve">support for financial institutions to mitigate risks </w:t>
            </w:r>
          </w:p>
          <w:p w14:paraId="03A963B6" w14:textId="77777777" w:rsidR="00FD6E67" w:rsidRPr="00CA1FF2" w:rsidRDefault="00FD6E67" w:rsidP="00163FD5">
            <w:pPr>
              <w:pStyle w:val="ListParagraph"/>
              <w:numPr>
                <w:ilvl w:val="0"/>
                <w:numId w:val="23"/>
              </w:numPr>
              <w:rPr>
                <w:rFonts w:ascii="Arial" w:hAnsi="Arial" w:cs="Arial"/>
                <w:sz w:val="18"/>
                <w:szCs w:val="18"/>
              </w:rPr>
            </w:pPr>
            <w:r w:rsidRPr="00CA1FF2">
              <w:rPr>
                <w:rFonts w:ascii="Arial" w:hAnsi="Arial" w:cs="Arial"/>
                <w:sz w:val="18"/>
                <w:szCs w:val="18"/>
              </w:rPr>
              <w:t>increase the bankability of green projects</w:t>
            </w:r>
          </w:p>
          <w:p w14:paraId="1462E428" w14:textId="4B434314" w:rsidR="00FD6E67" w:rsidRPr="00CA1FF2" w:rsidRDefault="00FD6E67" w:rsidP="00163FD5">
            <w:pPr>
              <w:pStyle w:val="ListParagraph"/>
              <w:numPr>
                <w:ilvl w:val="0"/>
                <w:numId w:val="23"/>
              </w:numPr>
              <w:rPr>
                <w:rFonts w:ascii="Arial" w:hAnsi="Arial" w:cs="Arial"/>
                <w:sz w:val="18"/>
                <w:szCs w:val="18"/>
              </w:rPr>
            </w:pPr>
            <w:r w:rsidRPr="00CA1FF2">
              <w:rPr>
                <w:rFonts w:ascii="Arial" w:hAnsi="Arial" w:cs="Arial"/>
                <w:sz w:val="18"/>
                <w:szCs w:val="18"/>
              </w:rPr>
              <w:t>collaboration on designing mechanisms for green finance guarantees</w:t>
            </w:r>
          </w:p>
        </w:tc>
      </w:tr>
      <w:tr w:rsidR="00FD6E67" w:rsidRPr="00CA1FF2" w14:paraId="5C7B6D73" w14:textId="77777777" w:rsidTr="00797FE8">
        <w:tc>
          <w:tcPr>
            <w:tcW w:w="1594" w:type="pct"/>
          </w:tcPr>
          <w:p w14:paraId="5AE3025E" w14:textId="63536C9B" w:rsidR="00FD6E67" w:rsidRPr="00CA1FF2" w:rsidRDefault="00FD6E67">
            <w:pPr>
              <w:pStyle w:val="ParrInforme"/>
              <w:keepNext w:val="0"/>
              <w:spacing w:before="120" w:line="240" w:lineRule="auto"/>
              <w:rPr>
                <w:rFonts w:ascii="Arial" w:hAnsi="Arial" w:cs="Arial"/>
                <w:sz w:val="18"/>
                <w:szCs w:val="18"/>
                <w:lang w:val="en-GB"/>
              </w:rPr>
            </w:pPr>
            <w:r w:rsidRPr="00CA1FF2">
              <w:rPr>
                <w:rFonts w:ascii="Arial" w:hAnsi="Arial" w:cs="Arial"/>
                <w:sz w:val="18"/>
                <w:szCs w:val="18"/>
                <w:lang w:val="en-GB"/>
              </w:rPr>
              <w:t>Union of Banks</w:t>
            </w:r>
            <w:r w:rsidR="008E696B" w:rsidRPr="00CA1FF2">
              <w:rPr>
                <w:rFonts w:ascii="Arial" w:hAnsi="Arial" w:cs="Arial"/>
                <w:sz w:val="18"/>
                <w:szCs w:val="18"/>
                <w:lang w:val="en-GB"/>
              </w:rPr>
              <w:t xml:space="preserve"> of Kyrgyzstan</w:t>
            </w:r>
          </w:p>
        </w:tc>
        <w:tc>
          <w:tcPr>
            <w:tcW w:w="3406" w:type="pct"/>
          </w:tcPr>
          <w:p w14:paraId="51DEACE9" w14:textId="77777777" w:rsidR="00FD6E67" w:rsidRPr="00CA1FF2" w:rsidRDefault="00FD6E67" w:rsidP="00163FD5">
            <w:pPr>
              <w:pStyle w:val="ListParagraph"/>
              <w:numPr>
                <w:ilvl w:val="0"/>
                <w:numId w:val="24"/>
              </w:numPr>
              <w:rPr>
                <w:rFonts w:ascii="Arial" w:hAnsi="Arial" w:cs="Arial"/>
                <w:sz w:val="18"/>
                <w:szCs w:val="18"/>
              </w:rPr>
            </w:pPr>
            <w:r w:rsidRPr="00CA1FF2">
              <w:rPr>
                <w:rFonts w:ascii="Arial" w:hAnsi="Arial" w:cs="Arial"/>
                <w:sz w:val="18"/>
                <w:szCs w:val="18"/>
              </w:rPr>
              <w:t>a platform for capacity building and training</w:t>
            </w:r>
          </w:p>
          <w:p w14:paraId="669C3B89" w14:textId="77777777" w:rsidR="00FD6E67" w:rsidRPr="00CA1FF2" w:rsidRDefault="00FD6E67" w:rsidP="00163FD5">
            <w:pPr>
              <w:pStyle w:val="ListParagraph"/>
              <w:numPr>
                <w:ilvl w:val="0"/>
                <w:numId w:val="24"/>
              </w:numPr>
              <w:rPr>
                <w:rFonts w:ascii="Arial" w:hAnsi="Arial" w:cs="Arial"/>
                <w:sz w:val="18"/>
                <w:szCs w:val="18"/>
              </w:rPr>
            </w:pPr>
            <w:r w:rsidRPr="00CA1FF2">
              <w:rPr>
                <w:rFonts w:ascii="Arial" w:hAnsi="Arial" w:cs="Arial"/>
                <w:sz w:val="18"/>
                <w:szCs w:val="18"/>
              </w:rPr>
              <w:t>equipping financial institutions with expertise in green project validation, verification, and reporting</w:t>
            </w:r>
          </w:p>
          <w:p w14:paraId="12A4EF42" w14:textId="77777777" w:rsidR="00FD6E67" w:rsidRPr="00CA1FF2" w:rsidRDefault="00FD6E67" w:rsidP="00163FD5">
            <w:pPr>
              <w:pStyle w:val="ListParagraph"/>
              <w:numPr>
                <w:ilvl w:val="0"/>
                <w:numId w:val="24"/>
              </w:numPr>
              <w:rPr>
                <w:rFonts w:ascii="Arial" w:hAnsi="Arial" w:cs="Arial"/>
                <w:sz w:val="18"/>
                <w:szCs w:val="18"/>
              </w:rPr>
            </w:pPr>
            <w:r w:rsidRPr="00CA1FF2">
              <w:rPr>
                <w:rFonts w:ascii="Arial" w:hAnsi="Arial" w:cs="Arial"/>
                <w:sz w:val="18"/>
                <w:szCs w:val="18"/>
              </w:rPr>
              <w:t>host for training programs through its Sustainable Development Academy to standardize practices across the banking sector</w:t>
            </w:r>
          </w:p>
        </w:tc>
      </w:tr>
      <w:tr w:rsidR="00FD6E67" w:rsidRPr="00CA1FF2" w14:paraId="3A8C8A29" w14:textId="77777777" w:rsidTr="00797FE8">
        <w:tc>
          <w:tcPr>
            <w:tcW w:w="1594" w:type="pct"/>
          </w:tcPr>
          <w:p w14:paraId="0622B0A5" w14:textId="77777777" w:rsidR="00FD6E67" w:rsidRPr="00CA1FF2" w:rsidRDefault="00FD6E67">
            <w:pPr>
              <w:pStyle w:val="ParrInforme"/>
              <w:keepNext w:val="0"/>
              <w:spacing w:before="120" w:line="240" w:lineRule="auto"/>
              <w:rPr>
                <w:rFonts w:ascii="Arial" w:hAnsi="Arial" w:cs="Arial"/>
                <w:sz w:val="18"/>
                <w:szCs w:val="18"/>
                <w:lang w:val="en-GB"/>
              </w:rPr>
            </w:pPr>
            <w:proofErr w:type="spellStart"/>
            <w:r w:rsidRPr="00CA1FF2">
              <w:rPr>
                <w:rFonts w:ascii="Arial" w:hAnsi="Arial" w:cs="Arial"/>
                <w:sz w:val="18"/>
                <w:szCs w:val="18"/>
                <w:lang w:val="en-GB"/>
              </w:rPr>
              <w:t>Eldik</w:t>
            </w:r>
            <w:proofErr w:type="spellEnd"/>
            <w:r w:rsidRPr="00CA1FF2">
              <w:rPr>
                <w:rFonts w:ascii="Arial" w:hAnsi="Arial" w:cs="Arial"/>
                <w:sz w:val="18"/>
                <w:szCs w:val="18"/>
                <w:lang w:val="en-GB"/>
              </w:rPr>
              <w:t xml:space="preserve"> Bank</w:t>
            </w:r>
          </w:p>
        </w:tc>
        <w:tc>
          <w:tcPr>
            <w:tcW w:w="3406" w:type="pct"/>
          </w:tcPr>
          <w:p w14:paraId="7BDF5193" w14:textId="77777777" w:rsidR="00FD6E67" w:rsidRPr="00CA1FF2" w:rsidRDefault="00FD6E67" w:rsidP="00163FD5">
            <w:pPr>
              <w:pStyle w:val="ListParagraph"/>
              <w:numPr>
                <w:ilvl w:val="0"/>
                <w:numId w:val="25"/>
              </w:numPr>
              <w:rPr>
                <w:rFonts w:ascii="Arial" w:hAnsi="Arial" w:cs="Arial"/>
                <w:sz w:val="18"/>
                <w:szCs w:val="18"/>
              </w:rPr>
            </w:pPr>
            <w:r w:rsidRPr="00CA1FF2">
              <w:rPr>
                <w:rFonts w:ascii="Arial" w:hAnsi="Arial" w:cs="Arial"/>
                <w:sz w:val="18"/>
                <w:szCs w:val="18"/>
              </w:rPr>
              <w:t>a candidate for Direct Access Entity (DAE) accreditation to the GCF</w:t>
            </w:r>
          </w:p>
          <w:p w14:paraId="414977FA" w14:textId="77777777" w:rsidR="00FD6E67" w:rsidRPr="00CA1FF2" w:rsidRDefault="00FD6E67" w:rsidP="00163FD5">
            <w:pPr>
              <w:pStyle w:val="ListParagraph"/>
              <w:numPr>
                <w:ilvl w:val="0"/>
                <w:numId w:val="25"/>
              </w:numPr>
              <w:rPr>
                <w:rFonts w:ascii="Arial" w:hAnsi="Arial" w:cs="Arial"/>
                <w:sz w:val="18"/>
                <w:szCs w:val="18"/>
              </w:rPr>
            </w:pPr>
            <w:r w:rsidRPr="00CA1FF2">
              <w:rPr>
                <w:rFonts w:ascii="Arial" w:hAnsi="Arial" w:cs="Arial"/>
                <w:sz w:val="18"/>
                <w:szCs w:val="18"/>
              </w:rPr>
              <w:t>developing a project concept for GCF submission, focusing on scalable green finance initiatives</w:t>
            </w:r>
          </w:p>
        </w:tc>
      </w:tr>
      <w:tr w:rsidR="00FD6E67" w:rsidRPr="00CA1FF2" w14:paraId="0ED746E3" w14:textId="77777777" w:rsidTr="00797FE8">
        <w:tc>
          <w:tcPr>
            <w:tcW w:w="1594" w:type="pct"/>
          </w:tcPr>
          <w:p w14:paraId="3C9D26A7" w14:textId="77777777" w:rsidR="00FD6E67" w:rsidRPr="00CA1FF2" w:rsidRDefault="00FD6E67">
            <w:pPr>
              <w:pStyle w:val="ParrInforme"/>
              <w:keepNext w:val="0"/>
              <w:spacing w:before="120" w:line="240" w:lineRule="auto"/>
              <w:rPr>
                <w:rFonts w:ascii="Arial" w:hAnsi="Arial" w:cs="Arial"/>
                <w:sz w:val="18"/>
                <w:szCs w:val="18"/>
                <w:lang w:val="en-GB"/>
              </w:rPr>
            </w:pPr>
            <w:r w:rsidRPr="00CA1FF2">
              <w:rPr>
                <w:rFonts w:ascii="Arial" w:hAnsi="Arial" w:cs="Arial"/>
                <w:sz w:val="18"/>
                <w:szCs w:val="18"/>
                <w:lang w:val="en-GB"/>
              </w:rPr>
              <w:t>Commercial banks</w:t>
            </w:r>
          </w:p>
          <w:p w14:paraId="73E0B3C0" w14:textId="77777777" w:rsidR="00FD6E67" w:rsidRPr="00CA1FF2" w:rsidRDefault="00FD6E67">
            <w:pPr>
              <w:pStyle w:val="ParrInforme"/>
              <w:keepNext w:val="0"/>
              <w:spacing w:before="120" w:line="240" w:lineRule="auto"/>
              <w:rPr>
                <w:rFonts w:ascii="Arial" w:hAnsi="Arial" w:cs="Arial"/>
                <w:sz w:val="18"/>
                <w:szCs w:val="18"/>
                <w:lang w:val="en-GB"/>
              </w:rPr>
            </w:pPr>
            <w:r w:rsidRPr="00CA1FF2">
              <w:rPr>
                <w:rFonts w:ascii="Arial" w:hAnsi="Arial" w:cs="Arial"/>
                <w:sz w:val="18"/>
                <w:szCs w:val="18"/>
                <w:lang w:val="en-GB"/>
              </w:rPr>
              <w:t>(</w:t>
            </w:r>
            <w:proofErr w:type="spellStart"/>
            <w:r w:rsidRPr="00CA1FF2">
              <w:rPr>
                <w:rFonts w:ascii="Arial" w:hAnsi="Arial" w:cs="Arial"/>
                <w:sz w:val="18"/>
                <w:szCs w:val="18"/>
                <w:lang w:val="en-GB"/>
              </w:rPr>
              <w:t>Eldik</w:t>
            </w:r>
            <w:proofErr w:type="spellEnd"/>
            <w:r w:rsidRPr="00CA1FF2">
              <w:rPr>
                <w:rFonts w:ascii="Arial" w:hAnsi="Arial" w:cs="Arial"/>
                <w:sz w:val="18"/>
                <w:szCs w:val="18"/>
                <w:lang w:val="en-GB"/>
              </w:rPr>
              <w:t xml:space="preserve"> Bank, </w:t>
            </w:r>
            <w:proofErr w:type="spellStart"/>
            <w:r w:rsidRPr="00CA1FF2">
              <w:rPr>
                <w:rFonts w:ascii="Arial" w:hAnsi="Arial" w:cs="Arial"/>
                <w:sz w:val="18"/>
                <w:szCs w:val="18"/>
                <w:lang w:val="en-GB"/>
              </w:rPr>
              <w:t>Aiyl</w:t>
            </w:r>
            <w:proofErr w:type="spellEnd"/>
            <w:r w:rsidRPr="00CA1FF2">
              <w:rPr>
                <w:rFonts w:ascii="Arial" w:hAnsi="Arial" w:cs="Arial"/>
                <w:sz w:val="18"/>
                <w:szCs w:val="18"/>
                <w:lang w:val="en-GB"/>
              </w:rPr>
              <w:t xml:space="preserve"> Bank, </w:t>
            </w:r>
            <w:proofErr w:type="spellStart"/>
            <w:r w:rsidRPr="00CA1FF2">
              <w:rPr>
                <w:rFonts w:ascii="Arial" w:hAnsi="Arial" w:cs="Arial"/>
                <w:sz w:val="18"/>
                <w:szCs w:val="18"/>
                <w:lang w:val="en-GB"/>
              </w:rPr>
              <w:t>DosCredo</w:t>
            </w:r>
            <w:proofErr w:type="spellEnd"/>
            <w:r w:rsidRPr="00CA1FF2">
              <w:rPr>
                <w:rFonts w:ascii="Arial" w:hAnsi="Arial" w:cs="Arial"/>
                <w:sz w:val="18"/>
                <w:szCs w:val="18"/>
                <w:lang w:val="en-GB"/>
              </w:rPr>
              <w:t xml:space="preserve"> Bank, Finca Bank, Bakai Bank)</w:t>
            </w:r>
          </w:p>
        </w:tc>
        <w:tc>
          <w:tcPr>
            <w:tcW w:w="3406" w:type="pct"/>
          </w:tcPr>
          <w:p w14:paraId="0E5CB9D9" w14:textId="77777777" w:rsidR="00FD6E67" w:rsidRPr="00CA1FF2" w:rsidRDefault="00FD6E67" w:rsidP="00163FD5">
            <w:pPr>
              <w:pStyle w:val="ListParagraph"/>
              <w:numPr>
                <w:ilvl w:val="0"/>
                <w:numId w:val="26"/>
              </w:numPr>
              <w:rPr>
                <w:rFonts w:ascii="Arial" w:hAnsi="Arial" w:cs="Arial"/>
                <w:sz w:val="18"/>
                <w:szCs w:val="18"/>
              </w:rPr>
            </w:pPr>
            <w:r w:rsidRPr="00CA1FF2">
              <w:rPr>
                <w:rFonts w:ascii="Arial" w:hAnsi="Arial" w:cs="Arial"/>
                <w:sz w:val="18"/>
                <w:szCs w:val="18"/>
              </w:rPr>
              <w:t xml:space="preserve">engagement to pilot green financial products </w:t>
            </w:r>
          </w:p>
          <w:p w14:paraId="16527F4B" w14:textId="77777777" w:rsidR="00FD6E67" w:rsidRPr="00CA1FF2" w:rsidRDefault="00FD6E67" w:rsidP="00163FD5">
            <w:pPr>
              <w:pStyle w:val="ListParagraph"/>
              <w:numPr>
                <w:ilvl w:val="0"/>
                <w:numId w:val="26"/>
              </w:numPr>
              <w:rPr>
                <w:rFonts w:ascii="Arial" w:hAnsi="Arial" w:cs="Arial"/>
                <w:sz w:val="18"/>
                <w:szCs w:val="18"/>
              </w:rPr>
            </w:pPr>
            <w:r w:rsidRPr="00CA1FF2">
              <w:rPr>
                <w:rFonts w:ascii="Arial" w:hAnsi="Arial" w:cs="Arial"/>
                <w:sz w:val="18"/>
                <w:szCs w:val="18"/>
              </w:rPr>
              <w:t>beneficiaries of capacity-building activities on validation and verification systems</w:t>
            </w:r>
          </w:p>
          <w:p w14:paraId="75EA2254" w14:textId="77777777" w:rsidR="00FD6E67" w:rsidRPr="00CA1FF2" w:rsidRDefault="00FD6E67" w:rsidP="00163FD5">
            <w:pPr>
              <w:pStyle w:val="ListParagraph"/>
              <w:numPr>
                <w:ilvl w:val="0"/>
                <w:numId w:val="26"/>
              </w:numPr>
              <w:rPr>
                <w:rFonts w:ascii="Arial" w:hAnsi="Arial" w:cs="Arial"/>
                <w:sz w:val="18"/>
                <w:szCs w:val="18"/>
              </w:rPr>
            </w:pPr>
            <w:r w:rsidRPr="00CA1FF2">
              <w:rPr>
                <w:rFonts w:ascii="Arial" w:hAnsi="Arial" w:cs="Arial"/>
                <w:sz w:val="18"/>
                <w:szCs w:val="18"/>
              </w:rPr>
              <w:t xml:space="preserve">collaboration with the SDB to implement green finance standards </w:t>
            </w:r>
          </w:p>
          <w:p w14:paraId="3233F8A9" w14:textId="027861BA" w:rsidR="00FD6E67" w:rsidRPr="00CA1FF2" w:rsidRDefault="00FD6E67" w:rsidP="00163FD5">
            <w:pPr>
              <w:pStyle w:val="ListParagraph"/>
              <w:numPr>
                <w:ilvl w:val="0"/>
                <w:numId w:val="26"/>
              </w:numPr>
              <w:rPr>
                <w:rFonts w:ascii="Arial" w:hAnsi="Arial" w:cs="Arial"/>
                <w:sz w:val="18"/>
                <w:szCs w:val="18"/>
              </w:rPr>
            </w:pPr>
            <w:r w:rsidRPr="00CA1FF2">
              <w:rPr>
                <w:rFonts w:ascii="Arial" w:hAnsi="Arial" w:cs="Arial"/>
                <w:sz w:val="18"/>
                <w:szCs w:val="18"/>
              </w:rPr>
              <w:t>creation of innovative green lending products</w:t>
            </w:r>
          </w:p>
        </w:tc>
      </w:tr>
      <w:tr w:rsidR="00FD6E67" w:rsidRPr="00CA1FF2" w14:paraId="66601E72" w14:textId="77777777" w:rsidTr="00797FE8">
        <w:tc>
          <w:tcPr>
            <w:tcW w:w="1594" w:type="pct"/>
          </w:tcPr>
          <w:p w14:paraId="73C71D9F" w14:textId="77777777" w:rsidR="00FD6E67" w:rsidRPr="00CA1FF2" w:rsidRDefault="00FD6E67">
            <w:pPr>
              <w:pStyle w:val="ParrInforme"/>
              <w:keepNext w:val="0"/>
              <w:spacing w:before="120" w:line="240" w:lineRule="auto"/>
              <w:rPr>
                <w:rFonts w:ascii="Arial" w:hAnsi="Arial" w:cs="Arial"/>
                <w:sz w:val="18"/>
                <w:szCs w:val="18"/>
                <w:lang w:val="en-GB"/>
              </w:rPr>
            </w:pPr>
            <w:r w:rsidRPr="00CA1FF2">
              <w:rPr>
                <w:rFonts w:ascii="Arial" w:hAnsi="Arial" w:cs="Arial"/>
                <w:sz w:val="18"/>
                <w:szCs w:val="18"/>
                <w:lang w:val="en-GB"/>
              </w:rPr>
              <w:t>International partners</w:t>
            </w:r>
          </w:p>
          <w:p w14:paraId="38C84E94" w14:textId="77777777" w:rsidR="00FD6E67" w:rsidRPr="00CA1FF2" w:rsidRDefault="00FD6E67">
            <w:pPr>
              <w:pStyle w:val="ParrInforme"/>
              <w:keepNext w:val="0"/>
              <w:spacing w:before="120" w:line="240" w:lineRule="auto"/>
              <w:rPr>
                <w:rFonts w:ascii="Arial" w:hAnsi="Arial" w:cs="Arial"/>
                <w:sz w:val="18"/>
                <w:szCs w:val="18"/>
                <w:lang w:val="en-GB"/>
              </w:rPr>
            </w:pPr>
            <w:r w:rsidRPr="00CA1FF2">
              <w:rPr>
                <w:rFonts w:ascii="Arial" w:hAnsi="Arial" w:cs="Arial"/>
                <w:sz w:val="18"/>
                <w:szCs w:val="18"/>
                <w:lang w:val="en-GB"/>
              </w:rPr>
              <w:t>(World Bank, Asian Development Bank, USAID, GIZ)</w:t>
            </w:r>
          </w:p>
        </w:tc>
        <w:tc>
          <w:tcPr>
            <w:tcW w:w="3406" w:type="pct"/>
          </w:tcPr>
          <w:p w14:paraId="777B5A4E" w14:textId="77777777" w:rsidR="00FD6E67" w:rsidRPr="00CA1FF2" w:rsidRDefault="00FD6E67" w:rsidP="00163FD5">
            <w:pPr>
              <w:pStyle w:val="ListParagraph"/>
              <w:numPr>
                <w:ilvl w:val="0"/>
                <w:numId w:val="26"/>
              </w:numPr>
              <w:rPr>
                <w:rFonts w:ascii="Arial" w:hAnsi="Arial" w:cs="Arial"/>
                <w:sz w:val="18"/>
                <w:szCs w:val="18"/>
              </w:rPr>
            </w:pPr>
            <w:r w:rsidRPr="00CA1FF2">
              <w:rPr>
                <w:rFonts w:ascii="Arial" w:hAnsi="Arial" w:cs="Arial"/>
                <w:sz w:val="18"/>
                <w:szCs w:val="18"/>
              </w:rPr>
              <w:t>provision of technical expertise, funding, and best practices to enhance project design and implementation</w:t>
            </w:r>
          </w:p>
          <w:p w14:paraId="52445AAC" w14:textId="77777777" w:rsidR="00FD6E67" w:rsidRPr="00CA1FF2" w:rsidRDefault="00FD6E67" w:rsidP="00163FD5">
            <w:pPr>
              <w:pStyle w:val="ListParagraph"/>
              <w:numPr>
                <w:ilvl w:val="0"/>
                <w:numId w:val="26"/>
              </w:numPr>
              <w:rPr>
                <w:rFonts w:ascii="Arial" w:hAnsi="Arial" w:cs="Arial"/>
                <w:sz w:val="18"/>
                <w:szCs w:val="18"/>
              </w:rPr>
            </w:pPr>
            <w:r w:rsidRPr="00CA1FF2">
              <w:rPr>
                <w:rFonts w:ascii="Arial" w:hAnsi="Arial" w:cs="Arial"/>
                <w:sz w:val="18"/>
                <w:szCs w:val="18"/>
              </w:rPr>
              <w:t xml:space="preserve">support for capacity building </w:t>
            </w:r>
          </w:p>
          <w:p w14:paraId="23574789" w14:textId="5F49D67D" w:rsidR="00FD6E67" w:rsidRPr="00CA1FF2" w:rsidRDefault="00FD6E67" w:rsidP="00163FD5">
            <w:pPr>
              <w:pStyle w:val="ListParagraph"/>
              <w:numPr>
                <w:ilvl w:val="0"/>
                <w:numId w:val="26"/>
              </w:numPr>
              <w:rPr>
                <w:rFonts w:ascii="Arial" w:hAnsi="Arial" w:cs="Arial"/>
                <w:sz w:val="18"/>
                <w:szCs w:val="18"/>
              </w:rPr>
            </w:pPr>
            <w:r w:rsidRPr="00CA1FF2">
              <w:rPr>
                <w:rFonts w:ascii="Arial" w:hAnsi="Arial" w:cs="Arial"/>
                <w:sz w:val="18"/>
                <w:szCs w:val="18"/>
              </w:rPr>
              <w:t>collaboration in the development of large-scale climate finance strategies for the country</w:t>
            </w:r>
          </w:p>
        </w:tc>
      </w:tr>
    </w:tbl>
    <w:p w14:paraId="483BC0CD" w14:textId="77777777" w:rsidR="00797FE8" w:rsidRDefault="00797FE8" w:rsidP="00120D38">
      <w:pPr>
        <w:spacing w:before="120" w:after="120" w:line="240" w:lineRule="auto"/>
        <w:ind w:right="-28"/>
        <w:jc w:val="both"/>
        <w:rPr>
          <w:rStyle w:val="DefaultText"/>
          <w:color w:val="auto"/>
        </w:rPr>
        <w:sectPr w:rsidR="00797FE8" w:rsidSect="0048348F">
          <w:pgSz w:w="11907" w:h="16840" w:code="9"/>
          <w:pgMar w:top="1440" w:right="1440" w:bottom="1440" w:left="1440" w:header="720" w:footer="720" w:gutter="0"/>
          <w:cols w:space="720"/>
          <w:docGrid w:linePitch="360"/>
        </w:sectPr>
      </w:pPr>
    </w:p>
    <w:p w14:paraId="2D37240B" w14:textId="77777777" w:rsidR="00412888" w:rsidRDefault="00412888" w:rsidP="00412888">
      <w:pPr>
        <w:pStyle w:val="ListParagraph"/>
        <w:numPr>
          <w:ilvl w:val="1"/>
          <w:numId w:val="3"/>
        </w:numPr>
        <w:tabs>
          <w:tab w:val="left" w:pos="720"/>
          <w:tab w:val="left" w:pos="7200"/>
        </w:tabs>
        <w:rPr>
          <w:b/>
          <w:color w:val="276E8B" w:themeColor="accent1" w:themeShade="BF"/>
        </w:rPr>
      </w:pPr>
      <w:r w:rsidRPr="00AF3539">
        <w:rPr>
          <w:b/>
          <w:color w:val="276E8B" w:themeColor="accent1" w:themeShade="BF"/>
        </w:rPr>
        <w:lastRenderedPageBreak/>
        <w:t>Synergies and Complementarity</w:t>
      </w:r>
      <w:r>
        <w:rPr>
          <w:b/>
          <w:color w:val="276E8B" w:themeColor="accent1" w:themeShade="BF"/>
        </w:rPr>
        <w:t xml:space="preserve"> </w:t>
      </w:r>
    </w:p>
    <w:p w14:paraId="1F44C22E" w14:textId="77777777" w:rsidR="00FF5FDA" w:rsidRPr="00AF3539" w:rsidRDefault="00FF5FDA" w:rsidP="00FF5FDA">
      <w:pPr>
        <w:pStyle w:val="ListParagraph"/>
        <w:tabs>
          <w:tab w:val="left" w:pos="720"/>
          <w:tab w:val="left" w:pos="7200"/>
        </w:tabs>
        <w:ind w:left="360"/>
        <w:rPr>
          <w:b/>
          <w:color w:val="276E8B" w:themeColor="accent1" w:themeShade="BF"/>
        </w:rPr>
      </w:pPr>
    </w:p>
    <w:p w14:paraId="4E62A7F5" w14:textId="5AC5EC06" w:rsidR="0047601F" w:rsidRPr="00FF5FDA" w:rsidRDefault="00870988" w:rsidP="00FF5FDA">
      <w:pPr>
        <w:pStyle w:val="ListParagraph"/>
        <w:numPr>
          <w:ilvl w:val="0"/>
          <w:numId w:val="29"/>
        </w:numPr>
        <w:spacing w:before="120" w:after="120" w:line="240" w:lineRule="auto"/>
        <w:ind w:right="-28"/>
        <w:jc w:val="both"/>
        <w:rPr>
          <w:rFonts w:cstheme="minorHAnsi"/>
          <w:sz w:val="20"/>
          <w:szCs w:val="20"/>
        </w:rPr>
      </w:pPr>
      <w:r w:rsidRPr="00FF5FDA">
        <w:rPr>
          <w:rStyle w:val="DefaultText"/>
          <w:color w:val="auto"/>
        </w:rPr>
        <w:t xml:space="preserve">Relevant activities to the </w:t>
      </w:r>
      <w:r w:rsidR="005E282F" w:rsidRPr="00FF5FDA">
        <w:rPr>
          <w:rStyle w:val="DefaultText"/>
          <w:color w:val="auto"/>
        </w:rPr>
        <w:t>R</w:t>
      </w:r>
      <w:r w:rsidRPr="00FF5FDA">
        <w:rPr>
          <w:rStyle w:val="DefaultText"/>
          <w:color w:val="auto"/>
        </w:rPr>
        <w:t>eadiness project implementation that can provide synergies and inputs, including co-financing, lessons learnt, etc. are detailed in the table below.</w:t>
      </w:r>
    </w:p>
    <w:tbl>
      <w:tblPr>
        <w:tblStyle w:val="ListTable3-Accent2"/>
        <w:tblW w:w="5000" w:type="pct"/>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3326"/>
        <w:gridCol w:w="3691"/>
        <w:gridCol w:w="3867"/>
        <w:gridCol w:w="3066"/>
      </w:tblGrid>
      <w:tr w:rsidR="00971CD5" w:rsidRPr="008043D1" w14:paraId="5CA8B2D4" w14:textId="77777777" w:rsidTr="0027129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1192" w:type="pct"/>
            <w:shd w:val="clear" w:color="auto" w:fill="3494BA" w:themeFill="accent1"/>
          </w:tcPr>
          <w:p w14:paraId="070D11FA" w14:textId="77777777" w:rsidR="002D37D5" w:rsidRPr="008043D1" w:rsidRDefault="002D37D5">
            <w:pPr>
              <w:spacing w:after="120"/>
              <w:rPr>
                <w:sz w:val="20"/>
                <w:szCs w:val="20"/>
                <w:lang w:val="en-GB"/>
              </w:rPr>
            </w:pPr>
            <w:r w:rsidRPr="008043D1">
              <w:rPr>
                <w:sz w:val="20"/>
                <w:szCs w:val="20"/>
                <w:lang w:val="en-GB"/>
              </w:rPr>
              <w:t>Details of Readiness grants in the country (date of approval and implementation status/period, DP)</w:t>
            </w:r>
          </w:p>
        </w:tc>
        <w:tc>
          <w:tcPr>
            <w:tcW w:w="1323" w:type="pct"/>
            <w:shd w:val="clear" w:color="auto" w:fill="3494BA" w:themeFill="accent1"/>
          </w:tcPr>
          <w:p w14:paraId="1B7768FB" w14:textId="77777777" w:rsidR="002D37D5" w:rsidRPr="008043D1" w:rsidRDefault="002D37D5">
            <w:pPr>
              <w:spacing w:after="120"/>
              <w:cnfStyle w:val="100000000000" w:firstRow="1" w:lastRow="0" w:firstColumn="0" w:lastColumn="0" w:oddVBand="0" w:evenVBand="0" w:oddHBand="0" w:evenHBand="0" w:firstRowFirstColumn="0" w:firstRowLastColumn="0" w:lastRowFirstColumn="0" w:lastRowLastColumn="0"/>
              <w:rPr>
                <w:sz w:val="20"/>
                <w:szCs w:val="20"/>
                <w:lang w:val="en-GB"/>
              </w:rPr>
            </w:pPr>
            <w:r w:rsidRPr="008043D1">
              <w:rPr>
                <w:sz w:val="20"/>
                <w:szCs w:val="20"/>
                <w:lang w:val="en-GB"/>
              </w:rPr>
              <w:t>Objectives and key results expected / delivered</w:t>
            </w:r>
          </w:p>
        </w:tc>
        <w:tc>
          <w:tcPr>
            <w:tcW w:w="1386" w:type="pct"/>
            <w:shd w:val="clear" w:color="auto" w:fill="3494BA" w:themeFill="accent1"/>
          </w:tcPr>
          <w:p w14:paraId="4F0331C2" w14:textId="77777777" w:rsidR="002D37D5" w:rsidRPr="008043D1" w:rsidRDefault="002D37D5">
            <w:pPr>
              <w:spacing w:after="120"/>
              <w:cnfStyle w:val="100000000000" w:firstRow="1" w:lastRow="0" w:firstColumn="0" w:lastColumn="0" w:oddVBand="0" w:evenVBand="0" w:oddHBand="0" w:evenHBand="0" w:firstRowFirstColumn="0" w:firstRowLastColumn="0" w:lastRowFirstColumn="0" w:lastRowLastColumn="0"/>
              <w:rPr>
                <w:sz w:val="20"/>
                <w:szCs w:val="20"/>
                <w:lang w:val="en-GB"/>
              </w:rPr>
            </w:pPr>
            <w:r w:rsidRPr="008043D1">
              <w:rPr>
                <w:sz w:val="20"/>
                <w:szCs w:val="20"/>
                <w:lang w:val="en-GB"/>
              </w:rPr>
              <w:t>Synergies and Complementarities</w:t>
            </w:r>
          </w:p>
          <w:p w14:paraId="4898D1BE" w14:textId="77777777" w:rsidR="002D37D5" w:rsidRPr="008043D1" w:rsidRDefault="002D37D5">
            <w:pPr>
              <w:spacing w:after="120"/>
              <w:cnfStyle w:val="100000000000" w:firstRow="1" w:lastRow="0" w:firstColumn="0" w:lastColumn="0" w:oddVBand="0" w:evenVBand="0" w:oddHBand="0" w:evenHBand="0" w:firstRowFirstColumn="0" w:firstRowLastColumn="0" w:lastRowFirstColumn="0" w:lastRowLastColumn="0"/>
              <w:rPr>
                <w:sz w:val="20"/>
                <w:szCs w:val="20"/>
                <w:lang w:val="en-GB"/>
              </w:rPr>
            </w:pPr>
          </w:p>
        </w:tc>
        <w:tc>
          <w:tcPr>
            <w:tcW w:w="1099" w:type="pct"/>
            <w:shd w:val="clear" w:color="auto" w:fill="3494BA" w:themeFill="accent1"/>
          </w:tcPr>
          <w:p w14:paraId="29B33FF0" w14:textId="77777777" w:rsidR="002D37D5" w:rsidRPr="008043D1" w:rsidRDefault="002D37D5">
            <w:pPr>
              <w:spacing w:after="120"/>
              <w:cnfStyle w:val="100000000000" w:firstRow="1" w:lastRow="0" w:firstColumn="0" w:lastColumn="0" w:oddVBand="0" w:evenVBand="0" w:oddHBand="0" w:evenHBand="0" w:firstRowFirstColumn="0" w:firstRowLastColumn="0" w:lastRowFirstColumn="0" w:lastRowLastColumn="0"/>
              <w:rPr>
                <w:sz w:val="20"/>
                <w:szCs w:val="20"/>
                <w:lang w:val="en-GB"/>
              </w:rPr>
            </w:pPr>
            <w:r w:rsidRPr="008043D1">
              <w:rPr>
                <w:sz w:val="20"/>
                <w:szCs w:val="20"/>
                <w:lang w:val="en-GB"/>
              </w:rPr>
              <w:t xml:space="preserve">Key implementation challenges and learnings </w:t>
            </w:r>
          </w:p>
        </w:tc>
      </w:tr>
      <w:tr w:rsidR="002D37D5" w:rsidRPr="008043D1" w14:paraId="3B107997" w14:textId="77777777" w:rsidTr="002712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2" w:type="pct"/>
          </w:tcPr>
          <w:p w14:paraId="43ABF0F8" w14:textId="29B89D83" w:rsidR="00870988" w:rsidRPr="008043D1" w:rsidRDefault="00870988" w:rsidP="0027129E">
            <w:pPr>
              <w:spacing w:after="120"/>
              <w:jc w:val="both"/>
              <w:rPr>
                <w:b w:val="0"/>
                <w:bCs w:val="0"/>
                <w:sz w:val="18"/>
                <w:szCs w:val="18"/>
                <w:lang w:val="en-GB"/>
              </w:rPr>
            </w:pPr>
            <w:r w:rsidRPr="008043D1">
              <w:rPr>
                <w:b w:val="0"/>
                <w:bCs w:val="0"/>
                <w:sz w:val="18"/>
                <w:szCs w:val="18"/>
                <w:lang w:val="en-GB"/>
              </w:rPr>
              <w:t>FP 116</w:t>
            </w:r>
            <w:r w:rsidR="003A6A9B" w:rsidRPr="008043D1">
              <w:rPr>
                <w:rStyle w:val="FootnoteReference"/>
                <w:b w:val="0"/>
                <w:bCs w:val="0"/>
                <w:sz w:val="18"/>
                <w:szCs w:val="18"/>
                <w:lang w:val="en-GB"/>
              </w:rPr>
              <w:footnoteReference w:id="94"/>
            </w:r>
            <w:r w:rsidR="009E12C6" w:rsidRPr="008043D1">
              <w:rPr>
                <w:b w:val="0"/>
                <w:bCs w:val="0"/>
                <w:sz w:val="18"/>
                <w:szCs w:val="18"/>
                <w:lang w:val="en-GB"/>
              </w:rPr>
              <w:t xml:space="preserve">: </w:t>
            </w:r>
            <w:r w:rsidRPr="008043D1">
              <w:rPr>
                <w:sz w:val="18"/>
                <w:szCs w:val="18"/>
                <w:lang w:val="en-GB"/>
              </w:rPr>
              <w:t>Carbon Sequestration through Climate Investment in Forests and Rangelands in Kyrgyz Republic</w:t>
            </w:r>
          </w:p>
          <w:p w14:paraId="68D0A382" w14:textId="0BB69E94" w:rsidR="002D37D5" w:rsidRPr="008043D1" w:rsidRDefault="00870988" w:rsidP="0027129E">
            <w:pPr>
              <w:spacing w:after="120"/>
              <w:jc w:val="both"/>
              <w:rPr>
                <w:b w:val="0"/>
                <w:bCs w:val="0"/>
                <w:sz w:val="18"/>
                <w:szCs w:val="18"/>
                <w:lang w:val="en-GB"/>
              </w:rPr>
            </w:pPr>
            <w:r w:rsidRPr="008043D1">
              <w:rPr>
                <w:b w:val="0"/>
                <w:bCs w:val="0"/>
                <w:sz w:val="18"/>
                <w:szCs w:val="18"/>
                <w:lang w:val="en-GB"/>
              </w:rPr>
              <w:t>Total project value USD 50.0 million, with USD 30 million grant, and USD 20 million of co-financing in form of loan (USD 15 million) and others</w:t>
            </w:r>
          </w:p>
          <w:p w14:paraId="271D950F" w14:textId="65F86392" w:rsidR="002D37D5" w:rsidRPr="008043D1" w:rsidRDefault="002D37D5" w:rsidP="0027129E">
            <w:pPr>
              <w:spacing w:after="120"/>
              <w:jc w:val="both"/>
              <w:rPr>
                <w:b w:val="0"/>
                <w:bCs w:val="0"/>
                <w:sz w:val="18"/>
                <w:szCs w:val="18"/>
                <w:lang w:val="en-GB"/>
              </w:rPr>
            </w:pPr>
            <w:r w:rsidRPr="008043D1">
              <w:rPr>
                <w:b w:val="0"/>
                <w:bCs w:val="0"/>
                <w:sz w:val="18"/>
                <w:szCs w:val="18"/>
                <w:lang w:val="en-GB"/>
              </w:rPr>
              <w:t xml:space="preserve">Duration: </w:t>
            </w:r>
            <w:r w:rsidR="00B93EA4" w:rsidRPr="008043D1">
              <w:rPr>
                <w:b w:val="0"/>
                <w:bCs w:val="0"/>
                <w:sz w:val="18"/>
                <w:szCs w:val="18"/>
                <w:lang w:val="en-GB"/>
              </w:rPr>
              <w:t>8 years</w:t>
            </w:r>
            <w:r w:rsidRPr="008043D1">
              <w:rPr>
                <w:b w:val="0"/>
                <w:bCs w:val="0"/>
                <w:sz w:val="18"/>
                <w:szCs w:val="18"/>
                <w:lang w:val="en-GB"/>
              </w:rPr>
              <w:t xml:space="preserve"> (</w:t>
            </w:r>
            <w:r w:rsidR="00B93EA4" w:rsidRPr="008043D1">
              <w:rPr>
                <w:b w:val="0"/>
                <w:bCs w:val="0"/>
                <w:sz w:val="18"/>
                <w:szCs w:val="18"/>
                <w:lang w:val="en-GB"/>
              </w:rPr>
              <w:t>October</w:t>
            </w:r>
            <w:r w:rsidR="00870988" w:rsidRPr="008043D1">
              <w:rPr>
                <w:b w:val="0"/>
                <w:bCs w:val="0"/>
                <w:sz w:val="18"/>
                <w:szCs w:val="18"/>
                <w:lang w:val="en-GB"/>
              </w:rPr>
              <w:t xml:space="preserve"> 20</w:t>
            </w:r>
            <w:r w:rsidR="00B93EA4" w:rsidRPr="008043D1">
              <w:rPr>
                <w:b w:val="0"/>
                <w:bCs w:val="0"/>
                <w:sz w:val="18"/>
                <w:szCs w:val="18"/>
                <w:lang w:val="en-GB"/>
              </w:rPr>
              <w:t>22</w:t>
            </w:r>
            <w:r w:rsidRPr="008043D1">
              <w:rPr>
                <w:b w:val="0"/>
                <w:bCs w:val="0"/>
                <w:sz w:val="18"/>
                <w:szCs w:val="18"/>
                <w:lang w:val="en-GB"/>
              </w:rPr>
              <w:t xml:space="preserve"> </w:t>
            </w:r>
            <w:r w:rsidR="00B93EA4" w:rsidRPr="008043D1">
              <w:rPr>
                <w:b w:val="0"/>
                <w:bCs w:val="0"/>
                <w:sz w:val="18"/>
                <w:szCs w:val="18"/>
                <w:lang w:val="en-GB"/>
              </w:rPr>
              <w:t>to 2030 y</w:t>
            </w:r>
            <w:r w:rsidRPr="008043D1">
              <w:rPr>
                <w:b w:val="0"/>
                <w:bCs w:val="0"/>
                <w:sz w:val="18"/>
                <w:szCs w:val="18"/>
                <w:lang w:val="en-GB"/>
              </w:rPr>
              <w:t>)</w:t>
            </w:r>
          </w:p>
          <w:p w14:paraId="34EC2A54" w14:textId="0F80950C" w:rsidR="002D37D5" w:rsidRPr="008043D1" w:rsidRDefault="002D37D5" w:rsidP="0027129E">
            <w:pPr>
              <w:spacing w:after="120"/>
              <w:jc w:val="both"/>
              <w:rPr>
                <w:b w:val="0"/>
                <w:bCs w:val="0"/>
                <w:color w:val="A6A6A6" w:themeColor="background1" w:themeShade="A6"/>
                <w:sz w:val="18"/>
                <w:szCs w:val="18"/>
                <w:lang w:val="en-GB"/>
              </w:rPr>
            </w:pPr>
            <w:r w:rsidRPr="008043D1">
              <w:rPr>
                <w:b w:val="0"/>
                <w:bCs w:val="0"/>
                <w:sz w:val="18"/>
                <w:szCs w:val="18"/>
                <w:lang w:val="en-GB"/>
              </w:rPr>
              <w:t xml:space="preserve">DP: </w:t>
            </w:r>
            <w:r w:rsidR="00870988" w:rsidRPr="008043D1">
              <w:rPr>
                <w:b w:val="0"/>
                <w:bCs w:val="0"/>
                <w:sz w:val="18"/>
                <w:szCs w:val="18"/>
                <w:lang w:val="en-GB"/>
              </w:rPr>
              <w:t xml:space="preserve">Food and Agriculture Organization of the United Nations </w:t>
            </w:r>
          </w:p>
        </w:tc>
        <w:tc>
          <w:tcPr>
            <w:tcW w:w="1323" w:type="pct"/>
          </w:tcPr>
          <w:p w14:paraId="6320B619" w14:textId="4B033584" w:rsidR="002D37D5" w:rsidRPr="008043D1" w:rsidRDefault="00B93EA4"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lang w:val="en-GB"/>
              </w:rPr>
            </w:pPr>
            <w:r w:rsidRPr="008043D1">
              <w:rPr>
                <w:sz w:val="18"/>
                <w:szCs w:val="18"/>
                <w:lang w:val="en-GB"/>
              </w:rPr>
              <w:t xml:space="preserve">Contribute to transforming in the target area the management of pasture and forest resources at the national and local levels to </w:t>
            </w:r>
            <w:r w:rsidR="00FE1194" w:rsidRPr="008043D1">
              <w:rPr>
                <w:sz w:val="18"/>
                <w:szCs w:val="18"/>
                <w:lang w:val="en-GB"/>
              </w:rPr>
              <w:t>ecosystem based</w:t>
            </w:r>
            <w:r w:rsidRPr="008043D1">
              <w:rPr>
                <w:sz w:val="18"/>
                <w:szCs w:val="18"/>
                <w:lang w:val="en-GB"/>
              </w:rPr>
              <w:t xml:space="preserve"> sustainable </w:t>
            </w:r>
            <w:r w:rsidR="00186ACB" w:rsidRPr="008043D1">
              <w:rPr>
                <w:sz w:val="18"/>
                <w:szCs w:val="18"/>
                <w:lang w:val="en-GB"/>
              </w:rPr>
              <w:t>natural resource management (</w:t>
            </w:r>
            <w:r w:rsidRPr="008043D1">
              <w:rPr>
                <w:sz w:val="18"/>
                <w:szCs w:val="18"/>
                <w:lang w:val="en-GB"/>
              </w:rPr>
              <w:t>NRM</w:t>
            </w:r>
            <w:r w:rsidR="00186ACB" w:rsidRPr="008043D1">
              <w:rPr>
                <w:sz w:val="18"/>
                <w:szCs w:val="18"/>
                <w:lang w:val="en-GB"/>
              </w:rPr>
              <w:t>)</w:t>
            </w:r>
            <w:r w:rsidRPr="008043D1">
              <w:rPr>
                <w:sz w:val="18"/>
                <w:szCs w:val="18"/>
                <w:lang w:val="en-GB"/>
              </w:rPr>
              <w:t xml:space="preserve"> by enhancing an integrated and participatory approach, which is adaptive to climate change and responsive to needs of local communities.</w:t>
            </w:r>
          </w:p>
        </w:tc>
        <w:tc>
          <w:tcPr>
            <w:tcW w:w="1386" w:type="pct"/>
          </w:tcPr>
          <w:p w14:paraId="78F6D843" w14:textId="0ABB1B80" w:rsidR="002D37D5" w:rsidRPr="008043D1" w:rsidRDefault="003A6A9B"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lang w:val="en-GB"/>
              </w:rPr>
            </w:pPr>
            <w:r w:rsidRPr="008043D1">
              <w:rPr>
                <w:sz w:val="18"/>
                <w:szCs w:val="18"/>
                <w:lang w:val="en-GB"/>
              </w:rPr>
              <w:t>The project “Carbon Sequestration through Climate Investment in Forests and Rangelands in Kyrgyz Republic” can generate demand for the green financing solutions</w:t>
            </w:r>
            <w:r w:rsidR="001A6D55" w:rsidRPr="008043D1">
              <w:rPr>
                <w:sz w:val="18"/>
                <w:szCs w:val="18"/>
                <w:lang w:val="en-GB"/>
              </w:rPr>
              <w:t>, in particular</w:t>
            </w:r>
            <w:r w:rsidR="003A000C" w:rsidRPr="008043D1">
              <w:rPr>
                <w:sz w:val="18"/>
                <w:szCs w:val="18"/>
                <w:lang w:val="en-GB"/>
              </w:rPr>
              <w:t>,</w:t>
            </w:r>
            <w:r w:rsidR="001A6D55" w:rsidRPr="008043D1">
              <w:rPr>
                <w:sz w:val="18"/>
                <w:szCs w:val="18"/>
                <w:lang w:val="en-GB"/>
              </w:rPr>
              <w:t xml:space="preserve"> by involving private sector in forestry investment (see Component 2</w:t>
            </w:r>
            <w:r w:rsidR="001A6D55" w:rsidRPr="008043D1">
              <w:rPr>
                <w:rStyle w:val="FootnoteReference"/>
                <w:sz w:val="18"/>
                <w:szCs w:val="18"/>
                <w:lang w:val="en-GB"/>
              </w:rPr>
              <w:footnoteReference w:id="95"/>
            </w:r>
            <w:r w:rsidR="001A6D55" w:rsidRPr="008043D1">
              <w:rPr>
                <w:sz w:val="18"/>
                <w:szCs w:val="18"/>
                <w:lang w:val="en-GB"/>
              </w:rPr>
              <w:t xml:space="preserve">). By </w:t>
            </w:r>
            <w:r w:rsidRPr="008043D1">
              <w:rPr>
                <w:sz w:val="18"/>
                <w:szCs w:val="18"/>
                <w:lang w:val="en-GB"/>
              </w:rPr>
              <w:t xml:space="preserve">implementing the </w:t>
            </w:r>
            <w:r w:rsidR="005E282F" w:rsidRPr="008043D1">
              <w:rPr>
                <w:sz w:val="18"/>
                <w:szCs w:val="18"/>
                <w:lang w:val="en-GB"/>
              </w:rPr>
              <w:t>R</w:t>
            </w:r>
            <w:r w:rsidRPr="008043D1">
              <w:rPr>
                <w:sz w:val="18"/>
                <w:szCs w:val="18"/>
                <w:lang w:val="en-GB"/>
              </w:rPr>
              <w:t xml:space="preserve">eadiness project financial institutions are better prepared to respond to the demand for financial products and services for </w:t>
            </w:r>
            <w:r w:rsidR="00186ACB" w:rsidRPr="008043D1">
              <w:rPr>
                <w:sz w:val="18"/>
                <w:szCs w:val="18"/>
                <w:lang w:val="en-GB"/>
              </w:rPr>
              <w:t>NRM</w:t>
            </w:r>
            <w:r w:rsidRPr="008043D1">
              <w:rPr>
                <w:sz w:val="18"/>
                <w:szCs w:val="18"/>
                <w:lang w:val="en-GB"/>
              </w:rPr>
              <w:t>.</w:t>
            </w:r>
          </w:p>
        </w:tc>
        <w:tc>
          <w:tcPr>
            <w:tcW w:w="1099" w:type="pct"/>
          </w:tcPr>
          <w:p w14:paraId="4137A50C" w14:textId="1E2A52DB" w:rsidR="002D37D5" w:rsidRPr="008043D1" w:rsidRDefault="000C6AFB"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lang w:val="en-GB"/>
              </w:rPr>
            </w:pPr>
            <w:r w:rsidRPr="008043D1">
              <w:rPr>
                <w:sz w:val="18"/>
                <w:szCs w:val="18"/>
              </w:rPr>
              <w:t xml:space="preserve">The project reported financial and political challenges: </w:t>
            </w:r>
            <w:r w:rsidR="004E5BD4" w:rsidRPr="008043D1">
              <w:rPr>
                <w:sz w:val="18"/>
                <w:szCs w:val="18"/>
              </w:rPr>
              <w:t>changes</w:t>
            </w:r>
            <w:r w:rsidRPr="008043D1">
              <w:rPr>
                <w:sz w:val="18"/>
                <w:szCs w:val="18"/>
                <w:lang w:val="en-GB"/>
              </w:rPr>
              <w:t xml:space="preserve"> in market prices and turnover of counterpart leadership and change of government structures. Further, a four-year gap between project approval by GCF board (November 2019) and issuance of Notice of Effectiveness (October 2022) is reported as key implementational challenge</w:t>
            </w:r>
            <w:r w:rsidR="00223CCA" w:rsidRPr="008043D1">
              <w:rPr>
                <w:rStyle w:val="FootnoteReference"/>
                <w:sz w:val="18"/>
                <w:szCs w:val="18"/>
              </w:rPr>
              <w:footnoteReference w:id="96"/>
            </w:r>
            <w:r w:rsidRPr="008043D1">
              <w:rPr>
                <w:sz w:val="18"/>
                <w:szCs w:val="18"/>
                <w:lang w:val="en-GB"/>
              </w:rPr>
              <w:t>.</w:t>
            </w:r>
          </w:p>
          <w:p w14:paraId="30D373DC" w14:textId="10F5CB07" w:rsidR="00971CD5" w:rsidRPr="008043D1" w:rsidRDefault="00223CCA"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lang w:val="en-GB"/>
              </w:rPr>
            </w:pPr>
            <w:r w:rsidRPr="008043D1">
              <w:rPr>
                <w:sz w:val="18"/>
                <w:szCs w:val="18"/>
                <w:lang w:val="en-GB"/>
              </w:rPr>
              <w:t>The project has recently begun, and valuable lessons and insights to inform other relevant initiatives, including the GCF Readiness Programme are expected to emerge in the near future.</w:t>
            </w:r>
          </w:p>
        </w:tc>
      </w:tr>
      <w:tr w:rsidR="00DA6459" w:rsidRPr="008043D1" w14:paraId="02A37A57" w14:textId="77777777" w:rsidTr="0027129E">
        <w:trPr>
          <w:trHeight w:val="300"/>
        </w:trPr>
        <w:tc>
          <w:tcPr>
            <w:cnfStyle w:val="001000000000" w:firstRow="0" w:lastRow="0" w:firstColumn="1" w:lastColumn="0" w:oddVBand="0" w:evenVBand="0" w:oddHBand="0" w:evenHBand="0" w:firstRowFirstColumn="0" w:firstRowLastColumn="0" w:lastRowFirstColumn="0" w:lastRowLastColumn="0"/>
            <w:tcW w:w="1192" w:type="pct"/>
          </w:tcPr>
          <w:p w14:paraId="370C0FA5" w14:textId="0EBD458E" w:rsidR="00555447" w:rsidRPr="008043D1" w:rsidRDefault="00555447" w:rsidP="0027129E">
            <w:pPr>
              <w:spacing w:after="120"/>
              <w:jc w:val="both"/>
              <w:rPr>
                <w:sz w:val="18"/>
                <w:szCs w:val="18"/>
                <w:lang w:val="en-GB"/>
              </w:rPr>
            </w:pPr>
            <w:r w:rsidRPr="008043D1">
              <w:rPr>
                <w:b w:val="0"/>
                <w:bCs w:val="0"/>
                <w:sz w:val="18"/>
                <w:szCs w:val="18"/>
                <w:lang w:val="en-GB"/>
              </w:rPr>
              <w:t>SAP002</w:t>
            </w:r>
            <w:r w:rsidR="00DD73C2" w:rsidRPr="008043D1">
              <w:rPr>
                <w:rStyle w:val="FootnoteReference"/>
                <w:b w:val="0"/>
                <w:bCs w:val="0"/>
                <w:sz w:val="18"/>
                <w:szCs w:val="18"/>
                <w:lang w:val="en-GB"/>
              </w:rPr>
              <w:footnoteReference w:id="97"/>
            </w:r>
            <w:r w:rsidR="009E12C6" w:rsidRPr="008043D1">
              <w:rPr>
                <w:sz w:val="18"/>
                <w:szCs w:val="18"/>
                <w:lang w:val="en-GB"/>
              </w:rPr>
              <w:t xml:space="preserve">: </w:t>
            </w:r>
            <w:r w:rsidRPr="008043D1">
              <w:rPr>
                <w:sz w:val="18"/>
                <w:szCs w:val="18"/>
                <w:lang w:val="en-GB"/>
              </w:rPr>
              <w:t>Climate services and diversification of climate sensitive livelihoods to empower food insecure and vulnerable communities in the Kyrgyz Republic</w:t>
            </w:r>
          </w:p>
          <w:p w14:paraId="64C0F133" w14:textId="4AA1BB35" w:rsidR="00555447" w:rsidRPr="008043D1" w:rsidRDefault="00555447" w:rsidP="0027129E">
            <w:pPr>
              <w:spacing w:after="120"/>
              <w:jc w:val="both"/>
              <w:rPr>
                <w:b w:val="0"/>
                <w:bCs w:val="0"/>
                <w:sz w:val="18"/>
                <w:szCs w:val="18"/>
                <w:lang w:val="en-GB"/>
              </w:rPr>
            </w:pPr>
            <w:r w:rsidRPr="008043D1">
              <w:rPr>
                <w:b w:val="0"/>
                <w:bCs w:val="0"/>
                <w:sz w:val="18"/>
                <w:szCs w:val="18"/>
                <w:lang w:val="en-GB"/>
              </w:rPr>
              <w:t xml:space="preserve">Total project value USD 9.6 million, with USD 8.6 million grant, and USD 1 million of co-financing </w:t>
            </w:r>
          </w:p>
          <w:p w14:paraId="58F21D93" w14:textId="2C9A11AA" w:rsidR="00555447" w:rsidRPr="008043D1" w:rsidRDefault="00555447" w:rsidP="0027129E">
            <w:pPr>
              <w:spacing w:after="120"/>
              <w:jc w:val="both"/>
              <w:rPr>
                <w:b w:val="0"/>
                <w:bCs w:val="0"/>
                <w:sz w:val="18"/>
                <w:szCs w:val="18"/>
                <w:lang w:val="en-GB"/>
              </w:rPr>
            </w:pPr>
            <w:r w:rsidRPr="008043D1">
              <w:rPr>
                <w:b w:val="0"/>
                <w:bCs w:val="0"/>
                <w:sz w:val="18"/>
                <w:szCs w:val="18"/>
                <w:lang w:val="en-GB"/>
              </w:rPr>
              <w:lastRenderedPageBreak/>
              <w:t>Duration: 5 years (December 2021 to December 2026)</w:t>
            </w:r>
          </w:p>
          <w:p w14:paraId="23FF5759" w14:textId="0D72FDD5" w:rsidR="00555447" w:rsidRPr="008043D1" w:rsidRDefault="00555447" w:rsidP="0027129E">
            <w:pPr>
              <w:spacing w:after="120"/>
              <w:jc w:val="both"/>
              <w:rPr>
                <w:b w:val="0"/>
                <w:bCs w:val="0"/>
                <w:sz w:val="18"/>
                <w:szCs w:val="18"/>
                <w:lang w:val="en-GB"/>
              </w:rPr>
            </w:pPr>
            <w:r w:rsidRPr="008043D1">
              <w:rPr>
                <w:b w:val="0"/>
                <w:bCs w:val="0"/>
                <w:sz w:val="18"/>
                <w:szCs w:val="18"/>
                <w:lang w:val="en-GB"/>
              </w:rPr>
              <w:t>DP: World Food Programme of the United Nations</w:t>
            </w:r>
          </w:p>
        </w:tc>
        <w:tc>
          <w:tcPr>
            <w:tcW w:w="1323" w:type="pct"/>
          </w:tcPr>
          <w:p w14:paraId="15C6C7CD" w14:textId="31F489E9" w:rsidR="00DA6459" w:rsidRPr="008043D1" w:rsidRDefault="00555447"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lang w:val="en-GB"/>
              </w:rPr>
            </w:pPr>
            <w:r w:rsidRPr="008043D1">
              <w:rPr>
                <w:sz w:val="18"/>
                <w:szCs w:val="18"/>
              </w:rPr>
              <w:lastRenderedPageBreak/>
              <w:t xml:space="preserve">The project focuses on three key areas: </w:t>
            </w:r>
            <w:r w:rsidR="00223CCA" w:rsidRPr="008043D1">
              <w:rPr>
                <w:sz w:val="18"/>
                <w:szCs w:val="18"/>
              </w:rPr>
              <w:t>(</w:t>
            </w:r>
            <w:r w:rsidR="00223CCA" w:rsidRPr="008043D1">
              <w:rPr>
                <w:sz w:val="18"/>
                <w:szCs w:val="18"/>
                <w:lang w:val="en-GB"/>
              </w:rPr>
              <w:t xml:space="preserve">i) </w:t>
            </w:r>
            <w:r w:rsidRPr="008043D1">
              <w:rPr>
                <w:sz w:val="18"/>
                <w:szCs w:val="18"/>
              </w:rPr>
              <w:t xml:space="preserve">providing climate services to help vulnerable rural communities plan for and manage climate risks and increasing weather variability; </w:t>
            </w:r>
            <w:r w:rsidR="00223CCA" w:rsidRPr="008043D1">
              <w:rPr>
                <w:sz w:val="18"/>
                <w:szCs w:val="18"/>
              </w:rPr>
              <w:t>(ii)</w:t>
            </w:r>
            <w:r w:rsidRPr="008043D1">
              <w:rPr>
                <w:sz w:val="18"/>
                <w:szCs w:val="18"/>
              </w:rPr>
              <w:t xml:space="preserve"> strengthening and diversifying livelihoods to enhance the adaptive capacity of vulnerable groups and build community resilience; and </w:t>
            </w:r>
            <w:r w:rsidR="00223CCA" w:rsidRPr="008043D1">
              <w:rPr>
                <w:sz w:val="18"/>
                <w:szCs w:val="18"/>
              </w:rPr>
              <w:t>(iii)</w:t>
            </w:r>
            <w:r w:rsidRPr="008043D1">
              <w:rPr>
                <w:sz w:val="18"/>
                <w:szCs w:val="18"/>
              </w:rPr>
              <w:t xml:space="preserve"> building capacity and offering decision-making support to improve </w:t>
            </w:r>
            <w:r w:rsidRPr="008043D1">
              <w:rPr>
                <w:sz w:val="18"/>
                <w:szCs w:val="18"/>
              </w:rPr>
              <w:lastRenderedPageBreak/>
              <w:t>climate action through a multi-sectoral approach.</w:t>
            </w:r>
          </w:p>
        </w:tc>
        <w:tc>
          <w:tcPr>
            <w:tcW w:w="1386" w:type="pct"/>
          </w:tcPr>
          <w:p w14:paraId="05EBCE7B" w14:textId="189D1AE1" w:rsidR="00DA6459" w:rsidRPr="008043D1" w:rsidRDefault="00FF7226"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lang w:val="en-GB"/>
              </w:rPr>
            </w:pPr>
            <w:r w:rsidRPr="008043D1">
              <w:rPr>
                <w:sz w:val="18"/>
                <w:szCs w:val="18"/>
                <w:lang w:val="en-GB"/>
              </w:rPr>
              <w:lastRenderedPageBreak/>
              <w:t>Not identified at this stage.</w:t>
            </w:r>
          </w:p>
        </w:tc>
        <w:tc>
          <w:tcPr>
            <w:tcW w:w="1099" w:type="pct"/>
          </w:tcPr>
          <w:p w14:paraId="425CF157" w14:textId="7EEDC647" w:rsidR="00F21980" w:rsidRPr="008043D1" w:rsidRDefault="00F21980" w:rsidP="0027129E">
            <w:pPr>
              <w:spacing w:after="120"/>
              <w:jc w:val="both"/>
              <w:cnfStyle w:val="000000000000" w:firstRow="0" w:lastRow="0" w:firstColumn="0" w:lastColumn="0" w:oddVBand="0" w:evenVBand="0" w:oddHBand="0" w:evenHBand="0" w:firstRowFirstColumn="0" w:firstRowLastColumn="0" w:lastRowFirstColumn="0" w:lastRowLastColumn="0"/>
              <w:rPr>
                <w:rStyle w:val="FootnoteReference"/>
                <w:sz w:val="18"/>
                <w:szCs w:val="18"/>
                <w:vertAlign w:val="baseline"/>
                <w:lang w:val="en-GB"/>
              </w:rPr>
            </w:pPr>
            <w:r w:rsidRPr="008043D1">
              <w:rPr>
                <w:sz w:val="18"/>
                <w:szCs w:val="18"/>
                <w:lang w:val="en-GB"/>
              </w:rPr>
              <w:t>The project reported</w:t>
            </w:r>
            <w:r w:rsidR="00162612" w:rsidRPr="008043D1">
              <w:rPr>
                <w:rStyle w:val="FootnoteReference"/>
                <w:sz w:val="18"/>
                <w:szCs w:val="18"/>
                <w:lang w:val="en-GB"/>
              </w:rPr>
              <w:footnoteReference w:id="98"/>
            </w:r>
            <w:r w:rsidRPr="008043D1">
              <w:rPr>
                <w:sz w:val="18"/>
                <w:szCs w:val="18"/>
                <w:lang w:val="en-GB"/>
              </w:rPr>
              <w:t xml:space="preserve"> key operational challenges as follows: (i) Changes in institutional setup at both national and sub-national levels led to delays in the project design sequence and timelines. (ii)</w:t>
            </w:r>
            <w:r w:rsidRPr="008043D1">
              <w:rPr>
                <w:sz w:val="18"/>
                <w:szCs w:val="18"/>
              </w:rPr>
              <w:t xml:space="preserve"> </w:t>
            </w:r>
            <w:r w:rsidRPr="008043D1">
              <w:rPr>
                <w:sz w:val="18"/>
                <w:szCs w:val="18"/>
                <w:lang w:val="en-GB"/>
              </w:rPr>
              <w:t xml:space="preserve">Potential duplication with other development stakeholders and partners involved in climate action initiatives, (iii) Covid-19 disruptions </w:t>
            </w:r>
            <w:r w:rsidR="00162612" w:rsidRPr="008043D1">
              <w:rPr>
                <w:sz w:val="18"/>
                <w:szCs w:val="18"/>
                <w:lang w:val="en-GB"/>
              </w:rPr>
              <w:lastRenderedPageBreak/>
              <w:t>in</w:t>
            </w:r>
            <w:r w:rsidRPr="008043D1">
              <w:rPr>
                <w:sz w:val="18"/>
                <w:szCs w:val="18"/>
                <w:lang w:val="en-GB"/>
              </w:rPr>
              <w:t xml:space="preserve"> field activities</w:t>
            </w:r>
            <w:r w:rsidR="00162612" w:rsidRPr="008043D1">
              <w:rPr>
                <w:sz w:val="18"/>
                <w:szCs w:val="18"/>
                <w:lang w:val="en-GB"/>
              </w:rPr>
              <w:t xml:space="preserve"> and supply chain (affecting procurement). </w:t>
            </w:r>
            <w:r w:rsidRPr="008043D1">
              <w:rPr>
                <w:sz w:val="18"/>
                <w:szCs w:val="18"/>
                <w:lang w:val="en-GB"/>
              </w:rPr>
              <w:t xml:space="preserve">Other challenges and learnings included: measurable indicators and time-lapse required to measure effectively, emerged need to supplement training sessions with demonstrations of heat-saving technology which requires co-financing, </w:t>
            </w:r>
            <w:r w:rsidR="00162612" w:rsidRPr="008043D1">
              <w:rPr>
                <w:sz w:val="18"/>
                <w:szCs w:val="18"/>
                <w:lang w:val="en-GB"/>
              </w:rPr>
              <w:t xml:space="preserve">and </w:t>
            </w:r>
            <w:r w:rsidR="00162612" w:rsidRPr="008043D1">
              <w:rPr>
                <w:sz w:val="18"/>
                <w:szCs w:val="18"/>
              </w:rPr>
              <w:t>ensuring women's participation in trainings and in project implementation, especially in the south region of the country.</w:t>
            </w:r>
          </w:p>
        </w:tc>
      </w:tr>
      <w:tr w:rsidR="002D37D5" w:rsidRPr="008043D1" w14:paraId="70B7F8C6" w14:textId="77777777" w:rsidTr="002712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2" w:type="pct"/>
          </w:tcPr>
          <w:p w14:paraId="5A1378FB" w14:textId="07953C97" w:rsidR="007636D3" w:rsidRPr="008043D1" w:rsidRDefault="007636D3" w:rsidP="0027129E">
            <w:pPr>
              <w:spacing w:after="120"/>
              <w:jc w:val="both"/>
              <w:rPr>
                <w:sz w:val="18"/>
                <w:szCs w:val="18"/>
              </w:rPr>
            </w:pPr>
            <w:r w:rsidRPr="008043D1">
              <w:rPr>
                <w:b w:val="0"/>
                <w:bCs w:val="0"/>
                <w:sz w:val="18"/>
                <w:szCs w:val="18"/>
              </w:rPr>
              <w:lastRenderedPageBreak/>
              <w:t>FP204</w:t>
            </w:r>
            <w:r w:rsidR="001B0196" w:rsidRPr="008043D1">
              <w:rPr>
                <w:rStyle w:val="FootnoteReference"/>
                <w:b w:val="0"/>
                <w:bCs w:val="0"/>
                <w:sz w:val="18"/>
                <w:szCs w:val="18"/>
              </w:rPr>
              <w:footnoteReference w:id="99"/>
            </w:r>
            <w:r w:rsidR="009E12C6" w:rsidRPr="008043D1">
              <w:rPr>
                <w:sz w:val="18"/>
                <w:szCs w:val="18"/>
              </w:rPr>
              <w:t xml:space="preserve">: </w:t>
            </w:r>
            <w:r w:rsidRPr="008043D1">
              <w:rPr>
                <w:sz w:val="18"/>
                <w:szCs w:val="18"/>
              </w:rPr>
              <w:t>Sustainable Renewables Risk Mitigation Initiative (SRMI) Facility (Phase 2 Resilience focus)</w:t>
            </w:r>
          </w:p>
          <w:p w14:paraId="15349BD4" w14:textId="0435E8F0" w:rsidR="001B0196" w:rsidRPr="008043D1" w:rsidRDefault="001B0196" w:rsidP="0027129E">
            <w:pPr>
              <w:spacing w:after="120"/>
              <w:jc w:val="both"/>
              <w:rPr>
                <w:sz w:val="18"/>
                <w:szCs w:val="18"/>
              </w:rPr>
            </w:pPr>
            <w:r w:rsidRPr="008043D1">
              <w:rPr>
                <w:b w:val="0"/>
                <w:bCs w:val="0"/>
                <w:sz w:val="18"/>
                <w:szCs w:val="18"/>
              </w:rPr>
              <w:t>9 countries, incl. Kyrgyzstan</w:t>
            </w:r>
          </w:p>
          <w:p w14:paraId="4A92AEC0" w14:textId="492EC3C8" w:rsidR="001B0196" w:rsidRPr="008043D1" w:rsidRDefault="001B0196" w:rsidP="0027129E">
            <w:pPr>
              <w:spacing w:after="120"/>
              <w:jc w:val="both"/>
              <w:rPr>
                <w:b w:val="0"/>
                <w:bCs w:val="0"/>
                <w:sz w:val="18"/>
                <w:szCs w:val="18"/>
                <w:lang w:val="en-GB"/>
              </w:rPr>
            </w:pPr>
            <w:r w:rsidRPr="008043D1">
              <w:rPr>
                <w:b w:val="0"/>
                <w:bCs w:val="0"/>
                <w:sz w:val="18"/>
                <w:szCs w:val="18"/>
                <w:lang w:val="en-GB"/>
              </w:rPr>
              <w:t xml:space="preserve">Total project value USD 1.1 billion, with USD 160 million </w:t>
            </w:r>
            <w:r w:rsidR="009A7BCA" w:rsidRPr="008043D1">
              <w:rPr>
                <w:b w:val="0"/>
                <w:bCs w:val="0"/>
                <w:sz w:val="18"/>
                <w:szCs w:val="18"/>
                <w:lang w:val="en-GB"/>
              </w:rPr>
              <w:t xml:space="preserve">in </w:t>
            </w:r>
            <w:r w:rsidRPr="008043D1">
              <w:rPr>
                <w:b w:val="0"/>
                <w:bCs w:val="0"/>
                <w:sz w:val="18"/>
                <w:szCs w:val="18"/>
                <w:lang w:val="en-GB"/>
              </w:rPr>
              <w:t>grant, loan and guarantee by GCF, and USD 959 million of co-financing in grant, loan and guarantee.</w:t>
            </w:r>
          </w:p>
          <w:p w14:paraId="7846D3F0" w14:textId="7D531424" w:rsidR="001B0196" w:rsidRPr="008043D1" w:rsidRDefault="001B0196" w:rsidP="0027129E">
            <w:pPr>
              <w:spacing w:after="120"/>
              <w:jc w:val="both"/>
              <w:rPr>
                <w:b w:val="0"/>
                <w:bCs w:val="0"/>
                <w:sz w:val="18"/>
                <w:szCs w:val="18"/>
                <w:lang w:val="en-GB"/>
              </w:rPr>
            </w:pPr>
            <w:r w:rsidRPr="008043D1">
              <w:rPr>
                <w:b w:val="0"/>
                <w:bCs w:val="0"/>
                <w:sz w:val="18"/>
                <w:szCs w:val="18"/>
                <w:lang w:val="en-GB"/>
              </w:rPr>
              <w:t>Duration: 13 years (April 2023 to April 2035)</w:t>
            </w:r>
          </w:p>
          <w:p w14:paraId="02157851" w14:textId="710286BD" w:rsidR="007636D3" w:rsidRPr="008043D1" w:rsidRDefault="001B0196" w:rsidP="0027129E">
            <w:pPr>
              <w:spacing w:after="120"/>
              <w:jc w:val="both"/>
              <w:rPr>
                <w:sz w:val="18"/>
                <w:szCs w:val="18"/>
              </w:rPr>
            </w:pPr>
            <w:r w:rsidRPr="008043D1">
              <w:rPr>
                <w:b w:val="0"/>
                <w:bCs w:val="0"/>
                <w:sz w:val="18"/>
                <w:szCs w:val="18"/>
                <w:lang w:val="en-GB"/>
              </w:rPr>
              <w:t>DP: International Bank for Reconstruction and Development and International Development Association</w:t>
            </w:r>
          </w:p>
        </w:tc>
        <w:tc>
          <w:tcPr>
            <w:tcW w:w="1323" w:type="pct"/>
          </w:tcPr>
          <w:p w14:paraId="0CB56278" w14:textId="05335810" w:rsidR="002D37D5" w:rsidRPr="008043D1" w:rsidRDefault="001B0196" w:rsidP="0027129E">
            <w:pPr>
              <w:jc w:val="both"/>
              <w:cnfStyle w:val="000000100000" w:firstRow="0" w:lastRow="0" w:firstColumn="0" w:lastColumn="0" w:oddVBand="0" w:evenVBand="0" w:oddHBand="1" w:evenHBand="0" w:firstRowFirstColumn="0" w:firstRowLastColumn="0" w:lastRowFirstColumn="0" w:lastRowLastColumn="0"/>
              <w:rPr>
                <w:sz w:val="18"/>
                <w:szCs w:val="18"/>
              </w:rPr>
            </w:pPr>
            <w:r w:rsidRPr="008043D1">
              <w:rPr>
                <w:sz w:val="18"/>
                <w:szCs w:val="18"/>
              </w:rPr>
              <w:t>SRMI-Resilience, the second phase of the SRMI Facility, aims to support the energy transition in nine developing countries by enhancing access to sustainable electricity and fostering private sector investments in renewable energy infrastructure. The project will provide valuable insights on overcoming market barriers and facilitating collaboration between the public and private sectors in challenging renewable energy markets</w:t>
            </w:r>
            <w:r w:rsidR="00EE3664" w:rsidRPr="008043D1">
              <w:rPr>
                <w:rStyle w:val="FootnoteReference"/>
                <w:sz w:val="18"/>
                <w:szCs w:val="18"/>
              </w:rPr>
              <w:footnoteReference w:id="100"/>
            </w:r>
            <w:r w:rsidRPr="008043D1">
              <w:rPr>
                <w:sz w:val="18"/>
                <w:szCs w:val="18"/>
              </w:rPr>
              <w:t>.</w:t>
            </w:r>
            <w:r w:rsidRPr="008043D1">
              <w:rPr>
                <w:sz w:val="18"/>
                <w:szCs w:val="18"/>
                <w:highlight w:val="yellow"/>
              </w:rPr>
              <w:t xml:space="preserve"> </w:t>
            </w:r>
          </w:p>
        </w:tc>
        <w:tc>
          <w:tcPr>
            <w:tcW w:w="1386" w:type="pct"/>
          </w:tcPr>
          <w:p w14:paraId="258F3B10" w14:textId="65747EF5" w:rsidR="002D37D5" w:rsidRPr="008043D1" w:rsidRDefault="002F0271"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lang w:val="en-GB"/>
              </w:rPr>
            </w:pPr>
            <w:r w:rsidRPr="008043D1">
              <w:rPr>
                <w:sz w:val="18"/>
                <w:szCs w:val="18"/>
                <w:lang w:val="en-GB"/>
              </w:rPr>
              <w:t>Not identified at this stage.</w:t>
            </w:r>
            <w:r w:rsidR="00F96901" w:rsidRPr="008043D1">
              <w:rPr>
                <w:sz w:val="18"/>
                <w:szCs w:val="18"/>
                <w:lang w:val="en-GB"/>
              </w:rPr>
              <w:t xml:space="preserve"> However, outputs of the </w:t>
            </w:r>
            <w:r w:rsidR="005E282F" w:rsidRPr="008043D1">
              <w:rPr>
                <w:sz w:val="18"/>
                <w:szCs w:val="18"/>
                <w:lang w:val="en-GB"/>
              </w:rPr>
              <w:t>R</w:t>
            </w:r>
            <w:r w:rsidR="00F96901" w:rsidRPr="008043D1">
              <w:rPr>
                <w:sz w:val="18"/>
                <w:szCs w:val="18"/>
                <w:lang w:val="en-GB"/>
              </w:rPr>
              <w:t>eadiness project can contribute to the activities under FP204, in</w:t>
            </w:r>
            <w:r w:rsidR="003A000C" w:rsidRPr="008043D1">
              <w:rPr>
                <w:sz w:val="18"/>
                <w:szCs w:val="18"/>
                <w:lang w:val="en-GB"/>
              </w:rPr>
              <w:t xml:space="preserve"> particular to the Sub-Component 1.2: </w:t>
            </w:r>
            <w:r w:rsidR="00F96901" w:rsidRPr="008043D1">
              <w:rPr>
                <w:sz w:val="18"/>
                <w:szCs w:val="18"/>
                <w:lang w:val="en-GB"/>
              </w:rPr>
              <w:t>assistance to the country in developing a bankable renewable energy program to attract private investors.</w:t>
            </w:r>
            <w:r w:rsidR="003A000C" w:rsidRPr="008043D1">
              <w:rPr>
                <w:sz w:val="18"/>
                <w:szCs w:val="18"/>
                <w:lang w:val="en-GB"/>
              </w:rPr>
              <w:t xml:space="preserve"> </w:t>
            </w:r>
          </w:p>
        </w:tc>
        <w:tc>
          <w:tcPr>
            <w:tcW w:w="1099" w:type="pct"/>
          </w:tcPr>
          <w:p w14:paraId="02D99864" w14:textId="6240F4F7" w:rsidR="002D37D5" w:rsidRPr="008043D1" w:rsidRDefault="003A000C"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rPr>
            </w:pPr>
            <w:r w:rsidRPr="008043D1">
              <w:rPr>
                <w:sz w:val="18"/>
                <w:szCs w:val="18"/>
              </w:rPr>
              <w:t>n/a</w:t>
            </w:r>
          </w:p>
        </w:tc>
      </w:tr>
      <w:tr w:rsidR="008D6261" w:rsidRPr="008043D1" w14:paraId="521DADB8" w14:textId="77777777" w:rsidTr="0027129E">
        <w:trPr>
          <w:trHeight w:val="300"/>
        </w:trPr>
        <w:tc>
          <w:tcPr>
            <w:cnfStyle w:val="001000000000" w:firstRow="0" w:lastRow="0" w:firstColumn="1" w:lastColumn="0" w:oddVBand="0" w:evenVBand="0" w:oddHBand="0" w:evenHBand="0" w:firstRowFirstColumn="0" w:firstRowLastColumn="0" w:lastRowFirstColumn="0" w:lastRowLastColumn="0"/>
            <w:tcW w:w="1192" w:type="pct"/>
          </w:tcPr>
          <w:p w14:paraId="0B05109F" w14:textId="028ED409" w:rsidR="008D6261" w:rsidRPr="008043D1" w:rsidRDefault="008D6261" w:rsidP="0027129E">
            <w:pPr>
              <w:spacing w:after="120"/>
              <w:jc w:val="both"/>
              <w:rPr>
                <w:sz w:val="18"/>
                <w:szCs w:val="18"/>
              </w:rPr>
            </w:pPr>
            <w:r w:rsidRPr="008043D1">
              <w:rPr>
                <w:b w:val="0"/>
                <w:bCs w:val="0"/>
                <w:sz w:val="18"/>
                <w:szCs w:val="18"/>
              </w:rPr>
              <w:t>FP 253</w:t>
            </w:r>
            <w:r w:rsidR="009A7BCA" w:rsidRPr="008043D1">
              <w:rPr>
                <w:rStyle w:val="FootnoteReference"/>
                <w:b w:val="0"/>
                <w:bCs w:val="0"/>
                <w:sz w:val="18"/>
                <w:szCs w:val="18"/>
              </w:rPr>
              <w:footnoteReference w:id="101"/>
            </w:r>
            <w:r w:rsidR="009E12C6" w:rsidRPr="008043D1">
              <w:rPr>
                <w:sz w:val="18"/>
                <w:szCs w:val="18"/>
              </w:rPr>
              <w:t xml:space="preserve">: </w:t>
            </w:r>
            <w:r w:rsidRPr="008043D1">
              <w:rPr>
                <w:sz w:val="18"/>
                <w:szCs w:val="18"/>
              </w:rPr>
              <w:t>Greening Financial Systems: Delivering Climate Finance for All</w:t>
            </w:r>
          </w:p>
          <w:p w14:paraId="66948DB7" w14:textId="34846876" w:rsidR="009A7BCA" w:rsidRPr="008043D1" w:rsidRDefault="009A7BCA" w:rsidP="0027129E">
            <w:pPr>
              <w:spacing w:after="120"/>
              <w:jc w:val="both"/>
              <w:rPr>
                <w:sz w:val="18"/>
                <w:szCs w:val="18"/>
              </w:rPr>
            </w:pPr>
            <w:r w:rsidRPr="008043D1">
              <w:rPr>
                <w:b w:val="0"/>
                <w:bCs w:val="0"/>
                <w:sz w:val="18"/>
                <w:szCs w:val="18"/>
              </w:rPr>
              <w:lastRenderedPageBreak/>
              <w:t>13 countries, incl. Kyrgyzstan</w:t>
            </w:r>
          </w:p>
          <w:p w14:paraId="62001C6D" w14:textId="0166CC1C" w:rsidR="009A7BCA" w:rsidRPr="008043D1" w:rsidRDefault="009A7BCA" w:rsidP="0027129E">
            <w:pPr>
              <w:spacing w:after="120"/>
              <w:jc w:val="both"/>
              <w:rPr>
                <w:b w:val="0"/>
                <w:bCs w:val="0"/>
                <w:sz w:val="18"/>
                <w:szCs w:val="18"/>
                <w:lang w:val="en-GB"/>
              </w:rPr>
            </w:pPr>
            <w:r w:rsidRPr="008043D1">
              <w:rPr>
                <w:b w:val="0"/>
                <w:bCs w:val="0"/>
                <w:sz w:val="18"/>
                <w:szCs w:val="18"/>
                <w:lang w:val="en-GB"/>
              </w:rPr>
              <w:t>Total project value USD 669 million, with USD 200 million in grant and loan by GCF, and USD 469 million of co-financing in grant and loan.</w:t>
            </w:r>
          </w:p>
          <w:p w14:paraId="394F5B36" w14:textId="42CD3ABD" w:rsidR="009A7BCA" w:rsidRPr="008043D1" w:rsidRDefault="009A7BCA" w:rsidP="0027129E">
            <w:pPr>
              <w:spacing w:after="120"/>
              <w:jc w:val="both"/>
              <w:rPr>
                <w:b w:val="0"/>
                <w:bCs w:val="0"/>
                <w:sz w:val="18"/>
                <w:szCs w:val="18"/>
              </w:rPr>
            </w:pPr>
            <w:r w:rsidRPr="008043D1">
              <w:rPr>
                <w:b w:val="0"/>
                <w:bCs w:val="0"/>
                <w:sz w:val="18"/>
                <w:szCs w:val="18"/>
                <w:lang w:val="en-GB"/>
              </w:rPr>
              <w:t xml:space="preserve">Duration: </w:t>
            </w:r>
            <w:r w:rsidR="007E288D" w:rsidRPr="008043D1">
              <w:rPr>
                <w:b w:val="0"/>
                <w:bCs w:val="0"/>
                <w:sz w:val="18"/>
                <w:szCs w:val="18"/>
              </w:rPr>
              <w:t>approved 24 Oct 2024, 13 years implementation period</w:t>
            </w:r>
          </w:p>
          <w:p w14:paraId="7F5D885C" w14:textId="5AACB350" w:rsidR="009A7BCA" w:rsidRPr="008043D1" w:rsidRDefault="009A7BCA" w:rsidP="0027129E">
            <w:pPr>
              <w:spacing w:after="120"/>
              <w:jc w:val="both"/>
              <w:rPr>
                <w:b w:val="0"/>
                <w:bCs w:val="0"/>
                <w:sz w:val="18"/>
                <w:szCs w:val="18"/>
              </w:rPr>
            </w:pPr>
            <w:r w:rsidRPr="008043D1">
              <w:rPr>
                <w:b w:val="0"/>
                <w:bCs w:val="0"/>
                <w:sz w:val="18"/>
                <w:szCs w:val="18"/>
                <w:lang w:val="en-GB"/>
              </w:rPr>
              <w:t>DP: European Bank for Reconstruction and Development</w:t>
            </w:r>
          </w:p>
        </w:tc>
        <w:tc>
          <w:tcPr>
            <w:tcW w:w="1323" w:type="pct"/>
          </w:tcPr>
          <w:p w14:paraId="1B70F1DE" w14:textId="7D1AAD5D" w:rsidR="009A7BCA" w:rsidRPr="008043D1" w:rsidRDefault="009A7BCA" w:rsidP="0027129E">
            <w:pPr>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lastRenderedPageBreak/>
              <w:t>Expected Outputs of the Programme are</w:t>
            </w:r>
            <w:r w:rsidR="00496904">
              <w:rPr>
                <w:sz w:val="18"/>
                <w:szCs w:val="18"/>
              </w:rPr>
              <w:t>:</w:t>
            </w:r>
            <w:r w:rsidRPr="008043D1">
              <w:rPr>
                <w:sz w:val="18"/>
                <w:szCs w:val="18"/>
              </w:rPr>
              <w:t xml:space="preserve"> 1.1 Increased capacities of financial institutions to develop and monitor portfolios of investments for climate mitigation and </w:t>
            </w:r>
            <w:r w:rsidRPr="008043D1">
              <w:rPr>
                <w:sz w:val="18"/>
                <w:szCs w:val="18"/>
              </w:rPr>
              <w:lastRenderedPageBreak/>
              <w:t xml:space="preserve">adaptation projects, including gender considerations; </w:t>
            </w:r>
          </w:p>
          <w:p w14:paraId="43155A82" w14:textId="77777777" w:rsidR="009A7BCA" w:rsidRPr="008043D1" w:rsidRDefault="009A7BCA" w:rsidP="0027129E">
            <w:pPr>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t>1.2 Enhanced capabilities, tools and processes of financial institutions to develop ambitious climate performance targets and credible climate transition plans;</w:t>
            </w:r>
          </w:p>
          <w:p w14:paraId="42452DF4" w14:textId="0E622B35" w:rsidR="008D6261" w:rsidRPr="008043D1" w:rsidRDefault="009A7BCA" w:rsidP="0027129E">
            <w:pPr>
              <w:jc w:val="both"/>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8043D1">
              <w:rPr>
                <w:sz w:val="18"/>
                <w:szCs w:val="18"/>
              </w:rPr>
              <w:t>2.1 Increased investment in climate mitigation technologies and approaches through concessional finance; 2.2 Increased investment in climate adaptation technologies and approaches through concessional finance</w:t>
            </w:r>
            <w:r w:rsidR="002A6689" w:rsidRPr="008043D1">
              <w:rPr>
                <w:rStyle w:val="FootnoteReference"/>
                <w:sz w:val="18"/>
                <w:szCs w:val="18"/>
              </w:rPr>
              <w:footnoteReference w:id="102"/>
            </w:r>
            <w:r w:rsidR="002A6689" w:rsidRPr="008043D1">
              <w:rPr>
                <w:sz w:val="18"/>
                <w:szCs w:val="18"/>
              </w:rPr>
              <w:t>.</w:t>
            </w:r>
          </w:p>
        </w:tc>
        <w:tc>
          <w:tcPr>
            <w:tcW w:w="1386" w:type="pct"/>
          </w:tcPr>
          <w:p w14:paraId="7300BF48" w14:textId="4DE30150" w:rsidR="008D6261" w:rsidRPr="008043D1" w:rsidRDefault="007E288D"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lang w:val="en-GB"/>
              </w:rPr>
              <w:lastRenderedPageBreak/>
              <w:t xml:space="preserve">Not identified at this stage. Project FP 253 is to be consulted in due course of implementation for leveraging synergies and </w:t>
            </w:r>
            <w:r w:rsidR="002578EE" w:rsidRPr="008043D1">
              <w:rPr>
                <w:sz w:val="18"/>
                <w:szCs w:val="18"/>
                <w:lang w:val="en-GB"/>
              </w:rPr>
              <w:t>avoid</w:t>
            </w:r>
            <w:r w:rsidR="002C3E4D" w:rsidRPr="008043D1">
              <w:rPr>
                <w:sz w:val="18"/>
                <w:szCs w:val="18"/>
                <w:lang w:val="en-GB"/>
              </w:rPr>
              <w:t>ance of</w:t>
            </w:r>
            <w:r w:rsidR="002578EE" w:rsidRPr="008043D1">
              <w:rPr>
                <w:sz w:val="18"/>
                <w:szCs w:val="18"/>
                <w:lang w:val="en-GB"/>
              </w:rPr>
              <w:t xml:space="preserve"> </w:t>
            </w:r>
            <w:r w:rsidRPr="008043D1">
              <w:rPr>
                <w:sz w:val="18"/>
                <w:szCs w:val="18"/>
                <w:lang w:val="en-GB"/>
              </w:rPr>
              <w:t>overlap</w:t>
            </w:r>
            <w:r w:rsidR="002578EE" w:rsidRPr="008043D1">
              <w:rPr>
                <w:sz w:val="18"/>
                <w:szCs w:val="18"/>
                <w:lang w:val="en-GB"/>
              </w:rPr>
              <w:t>ping</w:t>
            </w:r>
            <w:r w:rsidRPr="008043D1">
              <w:rPr>
                <w:sz w:val="18"/>
                <w:szCs w:val="18"/>
                <w:lang w:val="en-GB"/>
              </w:rPr>
              <w:t xml:space="preserve">. </w:t>
            </w:r>
          </w:p>
        </w:tc>
        <w:tc>
          <w:tcPr>
            <w:tcW w:w="1099" w:type="pct"/>
          </w:tcPr>
          <w:p w14:paraId="7EB71E98" w14:textId="7C926449" w:rsidR="008D6261" w:rsidRPr="008043D1" w:rsidRDefault="007E288D"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t>n/a</w:t>
            </w:r>
          </w:p>
        </w:tc>
      </w:tr>
      <w:tr w:rsidR="00DA6459" w:rsidRPr="008043D1" w14:paraId="299A1AB8" w14:textId="77777777" w:rsidTr="002712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2" w:type="pct"/>
          </w:tcPr>
          <w:p w14:paraId="3955BF59" w14:textId="27DAAD3B" w:rsidR="0021332D" w:rsidRPr="008043D1" w:rsidRDefault="00DA6459" w:rsidP="0027129E">
            <w:pPr>
              <w:spacing w:after="120"/>
              <w:jc w:val="both"/>
              <w:rPr>
                <w:b w:val="0"/>
                <w:bCs w:val="0"/>
                <w:sz w:val="18"/>
                <w:szCs w:val="18"/>
                <w:lang w:val="en-GB"/>
              </w:rPr>
            </w:pPr>
            <w:r w:rsidRPr="008043D1">
              <w:rPr>
                <w:b w:val="0"/>
                <w:bCs w:val="0"/>
                <w:sz w:val="18"/>
                <w:szCs w:val="18"/>
                <w:lang w:val="en-GB"/>
              </w:rPr>
              <w:t>FP225</w:t>
            </w:r>
            <w:r w:rsidR="0021332D" w:rsidRPr="008043D1">
              <w:rPr>
                <w:rStyle w:val="FootnoteReference"/>
                <w:b w:val="0"/>
                <w:bCs w:val="0"/>
                <w:sz w:val="18"/>
                <w:szCs w:val="18"/>
                <w:lang w:val="en-GB"/>
              </w:rPr>
              <w:footnoteReference w:id="103"/>
            </w:r>
            <w:r w:rsidR="009E12C6" w:rsidRPr="008043D1">
              <w:rPr>
                <w:b w:val="0"/>
                <w:bCs w:val="0"/>
                <w:sz w:val="18"/>
                <w:szCs w:val="18"/>
                <w:lang w:val="en-GB"/>
              </w:rPr>
              <w:t xml:space="preserve">: </w:t>
            </w:r>
            <w:r w:rsidRPr="008043D1">
              <w:rPr>
                <w:sz w:val="18"/>
                <w:szCs w:val="18"/>
                <w:lang w:val="en-GB"/>
              </w:rPr>
              <w:t>E-Mobility Program</w:t>
            </w:r>
          </w:p>
          <w:p w14:paraId="299A896F" w14:textId="0DB4F131" w:rsidR="0021332D" w:rsidRPr="008043D1" w:rsidRDefault="0021332D" w:rsidP="0027129E">
            <w:pPr>
              <w:spacing w:after="120"/>
              <w:jc w:val="both"/>
              <w:rPr>
                <w:sz w:val="18"/>
                <w:szCs w:val="18"/>
              </w:rPr>
            </w:pPr>
            <w:r w:rsidRPr="008043D1">
              <w:rPr>
                <w:b w:val="0"/>
                <w:bCs w:val="0"/>
                <w:sz w:val="18"/>
                <w:szCs w:val="18"/>
              </w:rPr>
              <w:t>7 countries, incl. Kyrgyzstan</w:t>
            </w:r>
          </w:p>
          <w:p w14:paraId="28972178" w14:textId="1F839BD2" w:rsidR="0021332D" w:rsidRPr="008043D1" w:rsidRDefault="0021332D" w:rsidP="0027129E">
            <w:pPr>
              <w:spacing w:after="120"/>
              <w:jc w:val="both"/>
              <w:rPr>
                <w:b w:val="0"/>
                <w:bCs w:val="0"/>
                <w:sz w:val="18"/>
                <w:szCs w:val="18"/>
                <w:highlight w:val="cyan"/>
                <w:lang w:val="en-GB"/>
              </w:rPr>
            </w:pPr>
            <w:r w:rsidRPr="008043D1">
              <w:rPr>
                <w:b w:val="0"/>
                <w:bCs w:val="0"/>
                <w:sz w:val="18"/>
                <w:szCs w:val="18"/>
                <w:lang w:val="en-GB"/>
              </w:rPr>
              <w:t>Total project value USD 454.4 million, with USD 169.92 million in grant and loan by GCF, and USD 284.48 million of co-financing in grant and loan.</w:t>
            </w:r>
          </w:p>
          <w:p w14:paraId="1C848540" w14:textId="26DE1898" w:rsidR="0021332D" w:rsidRPr="008043D1" w:rsidRDefault="0021332D" w:rsidP="0027129E">
            <w:pPr>
              <w:spacing w:after="120"/>
              <w:jc w:val="both"/>
              <w:rPr>
                <w:b w:val="0"/>
                <w:bCs w:val="0"/>
                <w:sz w:val="18"/>
                <w:szCs w:val="18"/>
              </w:rPr>
            </w:pPr>
            <w:r w:rsidRPr="008043D1">
              <w:rPr>
                <w:b w:val="0"/>
                <w:bCs w:val="0"/>
                <w:sz w:val="18"/>
                <w:szCs w:val="18"/>
                <w:lang w:val="en-GB"/>
              </w:rPr>
              <w:t xml:space="preserve">Duration: </w:t>
            </w:r>
            <w:r w:rsidRPr="008043D1">
              <w:rPr>
                <w:b w:val="0"/>
                <w:bCs w:val="0"/>
                <w:sz w:val="18"/>
                <w:szCs w:val="18"/>
              </w:rPr>
              <w:t>approved 6 March 2024, 5 years from Funded Activity Agreement effective with possibility of extension</w:t>
            </w:r>
          </w:p>
          <w:p w14:paraId="47E642A1" w14:textId="0B7753A8" w:rsidR="0021332D" w:rsidRPr="008043D1" w:rsidRDefault="0021332D" w:rsidP="0027129E">
            <w:pPr>
              <w:spacing w:after="120"/>
              <w:jc w:val="both"/>
              <w:rPr>
                <w:b w:val="0"/>
                <w:bCs w:val="0"/>
                <w:sz w:val="18"/>
                <w:szCs w:val="18"/>
              </w:rPr>
            </w:pPr>
            <w:r w:rsidRPr="008043D1">
              <w:rPr>
                <w:b w:val="0"/>
                <w:bCs w:val="0"/>
                <w:sz w:val="18"/>
                <w:szCs w:val="18"/>
                <w:lang w:val="en-GB"/>
              </w:rPr>
              <w:t>DP: Asian Development Bank</w:t>
            </w:r>
          </w:p>
        </w:tc>
        <w:tc>
          <w:tcPr>
            <w:tcW w:w="1323" w:type="pct"/>
          </w:tcPr>
          <w:p w14:paraId="6796E617" w14:textId="5676EDCE" w:rsidR="00DA6459" w:rsidRPr="008043D1" w:rsidRDefault="00F6038B" w:rsidP="0027129E">
            <w:pPr>
              <w:jc w:val="both"/>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8043D1">
              <w:rPr>
                <w:sz w:val="18"/>
                <w:szCs w:val="18"/>
              </w:rPr>
              <w:t>The E-Mobility Program aims to transform public transport in 7 countries incl. Kyrgyzstan by providing technical assistance and investments in low-emission, climate-resilient mobility systems, such as e-bus fleets and sustainable urban transport infrastructure</w:t>
            </w:r>
            <w:r w:rsidR="002A6689" w:rsidRPr="008043D1">
              <w:rPr>
                <w:rStyle w:val="FootnoteReference"/>
                <w:sz w:val="18"/>
                <w:szCs w:val="18"/>
              </w:rPr>
              <w:footnoteReference w:id="104"/>
            </w:r>
            <w:r w:rsidRPr="008043D1">
              <w:rPr>
                <w:sz w:val="18"/>
                <w:szCs w:val="18"/>
              </w:rPr>
              <w:t xml:space="preserve">. </w:t>
            </w:r>
          </w:p>
        </w:tc>
        <w:tc>
          <w:tcPr>
            <w:tcW w:w="1386" w:type="pct"/>
          </w:tcPr>
          <w:p w14:paraId="3A9922E9" w14:textId="77777777" w:rsidR="00636FC0" w:rsidRDefault="009953FD"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lang w:val="en-GB"/>
              </w:rPr>
            </w:pPr>
            <w:r w:rsidRPr="008043D1">
              <w:rPr>
                <w:sz w:val="18"/>
                <w:szCs w:val="18"/>
                <w:lang w:val="en-GB"/>
              </w:rPr>
              <w:t>Not identified at this stage.</w:t>
            </w:r>
            <w:r w:rsidR="00375151" w:rsidRPr="008043D1">
              <w:rPr>
                <w:sz w:val="18"/>
                <w:szCs w:val="18"/>
                <w:lang w:val="en-GB"/>
              </w:rPr>
              <w:t xml:space="preserve"> </w:t>
            </w:r>
          </w:p>
          <w:p w14:paraId="2305E4C3" w14:textId="74494997" w:rsidR="00DA6459" w:rsidRPr="008043D1" w:rsidRDefault="00375151"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rPr>
            </w:pPr>
            <w:r w:rsidRPr="008043D1">
              <w:rPr>
                <w:sz w:val="18"/>
                <w:szCs w:val="18"/>
                <w:lang w:val="en-GB"/>
              </w:rPr>
              <w:t xml:space="preserve">Note: </w:t>
            </w:r>
            <w:r w:rsidRPr="008043D1">
              <w:rPr>
                <w:i/>
                <w:iCs/>
                <w:sz w:val="18"/>
                <w:szCs w:val="18"/>
                <w:lang w:val="en-GB"/>
              </w:rPr>
              <w:t>The project is synergetic to the project on “Promoting transition to electric mobility for low carbon development in the Kyrgyz Republic: Enhancing charging infrastructure and catalysing active private sector participation” (submitted by UNDP in Kyrgyzstan to GEF in November 2024, PIF stage) and has been consulted under the PIF development.</w:t>
            </w:r>
          </w:p>
        </w:tc>
        <w:tc>
          <w:tcPr>
            <w:tcW w:w="1099" w:type="pct"/>
          </w:tcPr>
          <w:p w14:paraId="3425CF9A" w14:textId="6039F9ED" w:rsidR="00DA6459" w:rsidRPr="008043D1" w:rsidRDefault="00992F7A"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rPr>
            </w:pPr>
            <w:r w:rsidRPr="008043D1">
              <w:rPr>
                <w:sz w:val="18"/>
                <w:szCs w:val="18"/>
              </w:rPr>
              <w:t>n/a</w:t>
            </w:r>
          </w:p>
        </w:tc>
      </w:tr>
      <w:tr w:rsidR="001616E7" w:rsidRPr="008043D1" w14:paraId="0F4A2407" w14:textId="77777777" w:rsidTr="0027129E">
        <w:trPr>
          <w:trHeight w:val="300"/>
        </w:trPr>
        <w:tc>
          <w:tcPr>
            <w:cnfStyle w:val="001000000000" w:firstRow="0" w:lastRow="0" w:firstColumn="1" w:lastColumn="0" w:oddVBand="0" w:evenVBand="0" w:oddHBand="0" w:evenHBand="0" w:firstRowFirstColumn="0" w:firstRowLastColumn="0" w:lastRowFirstColumn="0" w:lastRowLastColumn="0"/>
            <w:tcW w:w="1192" w:type="pct"/>
          </w:tcPr>
          <w:p w14:paraId="64F4B348" w14:textId="068FD3EB" w:rsidR="00536556" w:rsidRPr="008043D1" w:rsidRDefault="001616E7" w:rsidP="0027129E">
            <w:pPr>
              <w:spacing w:after="120"/>
              <w:jc w:val="both"/>
              <w:rPr>
                <w:sz w:val="18"/>
                <w:szCs w:val="18"/>
              </w:rPr>
            </w:pPr>
            <w:r w:rsidRPr="008043D1">
              <w:rPr>
                <w:sz w:val="18"/>
                <w:szCs w:val="18"/>
              </w:rPr>
              <w:t>Advancing development of a National Adaptation Plan (NAP) process for medium and long-term adaptation planning and implementation in the Kyrgyz Republic</w:t>
            </w:r>
            <w:r w:rsidR="00287C85" w:rsidRPr="008043D1">
              <w:rPr>
                <w:rStyle w:val="FootnoteReference"/>
                <w:b w:val="0"/>
                <w:bCs w:val="0"/>
                <w:sz w:val="18"/>
                <w:szCs w:val="18"/>
              </w:rPr>
              <w:footnoteReference w:id="105"/>
            </w:r>
          </w:p>
          <w:p w14:paraId="1A8EB257" w14:textId="67FF279E" w:rsidR="00536556" w:rsidRPr="008043D1" w:rsidRDefault="00536556" w:rsidP="0027129E">
            <w:pPr>
              <w:spacing w:after="120"/>
              <w:jc w:val="both"/>
              <w:rPr>
                <w:b w:val="0"/>
                <w:bCs w:val="0"/>
                <w:sz w:val="18"/>
                <w:szCs w:val="18"/>
                <w:highlight w:val="cyan"/>
                <w:lang w:val="en-GB"/>
              </w:rPr>
            </w:pPr>
            <w:r w:rsidRPr="008043D1">
              <w:rPr>
                <w:b w:val="0"/>
                <w:bCs w:val="0"/>
                <w:sz w:val="18"/>
                <w:szCs w:val="18"/>
                <w:lang w:val="en-GB"/>
              </w:rPr>
              <w:t xml:space="preserve">Total project value USD </w:t>
            </w:r>
            <w:r w:rsidR="00717C00" w:rsidRPr="008043D1">
              <w:rPr>
                <w:b w:val="0"/>
                <w:bCs w:val="0"/>
                <w:sz w:val="18"/>
                <w:szCs w:val="18"/>
                <w:lang w:val="en-GB"/>
              </w:rPr>
              <w:t>2.61</w:t>
            </w:r>
            <w:r w:rsidRPr="008043D1">
              <w:rPr>
                <w:b w:val="0"/>
                <w:bCs w:val="0"/>
                <w:sz w:val="18"/>
                <w:szCs w:val="18"/>
                <w:lang w:val="en-GB"/>
              </w:rPr>
              <w:t xml:space="preserve"> million</w:t>
            </w:r>
            <w:r w:rsidR="00717C00" w:rsidRPr="008043D1">
              <w:rPr>
                <w:b w:val="0"/>
                <w:bCs w:val="0"/>
                <w:sz w:val="18"/>
                <w:szCs w:val="18"/>
                <w:lang w:val="en-GB"/>
              </w:rPr>
              <w:t xml:space="preserve"> </w:t>
            </w:r>
            <w:r w:rsidRPr="008043D1">
              <w:rPr>
                <w:b w:val="0"/>
                <w:bCs w:val="0"/>
                <w:sz w:val="18"/>
                <w:szCs w:val="18"/>
                <w:lang w:val="en-GB"/>
              </w:rPr>
              <w:t>in grant by GCF</w:t>
            </w:r>
            <w:r w:rsidR="00717C00" w:rsidRPr="008043D1">
              <w:rPr>
                <w:b w:val="0"/>
                <w:bCs w:val="0"/>
                <w:sz w:val="18"/>
                <w:szCs w:val="18"/>
                <w:lang w:val="en-GB"/>
              </w:rPr>
              <w:t>.</w:t>
            </w:r>
          </w:p>
          <w:p w14:paraId="6F5C7DA2" w14:textId="2E4AB486" w:rsidR="00536556" w:rsidRPr="008043D1" w:rsidRDefault="00536556" w:rsidP="0027129E">
            <w:pPr>
              <w:spacing w:after="120"/>
              <w:jc w:val="both"/>
              <w:rPr>
                <w:b w:val="0"/>
                <w:bCs w:val="0"/>
                <w:sz w:val="18"/>
                <w:szCs w:val="18"/>
              </w:rPr>
            </w:pPr>
            <w:r w:rsidRPr="008043D1">
              <w:rPr>
                <w:b w:val="0"/>
                <w:bCs w:val="0"/>
                <w:sz w:val="18"/>
                <w:szCs w:val="18"/>
                <w:lang w:val="en-GB"/>
              </w:rPr>
              <w:lastRenderedPageBreak/>
              <w:t xml:space="preserve">Duration: </w:t>
            </w:r>
            <w:r w:rsidRPr="008043D1">
              <w:rPr>
                <w:b w:val="0"/>
                <w:bCs w:val="0"/>
                <w:sz w:val="18"/>
                <w:szCs w:val="18"/>
              </w:rPr>
              <w:t>3 years (2022-2024)</w:t>
            </w:r>
          </w:p>
          <w:p w14:paraId="4CE87D45" w14:textId="5FDC6139" w:rsidR="00536556" w:rsidRPr="008043D1" w:rsidRDefault="00536556" w:rsidP="0027129E">
            <w:pPr>
              <w:spacing w:after="120"/>
              <w:jc w:val="both"/>
              <w:rPr>
                <w:b w:val="0"/>
                <w:bCs w:val="0"/>
                <w:sz w:val="18"/>
                <w:szCs w:val="18"/>
                <w:highlight w:val="yellow"/>
              </w:rPr>
            </w:pPr>
            <w:r w:rsidRPr="008043D1">
              <w:rPr>
                <w:b w:val="0"/>
                <w:bCs w:val="0"/>
                <w:sz w:val="18"/>
                <w:szCs w:val="18"/>
                <w:lang w:val="en-GB"/>
              </w:rPr>
              <w:t>DP: United Nations Development Programme</w:t>
            </w:r>
          </w:p>
        </w:tc>
        <w:tc>
          <w:tcPr>
            <w:tcW w:w="1323" w:type="pct"/>
          </w:tcPr>
          <w:p w14:paraId="0E1A9C75" w14:textId="53BBED47" w:rsidR="001616E7" w:rsidRPr="008043D1" w:rsidRDefault="00FE60F9"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lastRenderedPageBreak/>
              <w:t xml:space="preserve">The project supports the Kyrgyz Government in establishing a national climate change adaptation planning process, aiming to strengthen institutional coordination, mainstream climate risks at all levels, and identify priority adaptation investments. Key outcomes include enhancing national coordination, formulating sector-specific adaptation plans, </w:t>
            </w:r>
            <w:r w:rsidRPr="008043D1">
              <w:rPr>
                <w:sz w:val="18"/>
                <w:szCs w:val="18"/>
              </w:rPr>
              <w:lastRenderedPageBreak/>
              <w:t>and building provincial adaptation capacities, with the development of national and sectoral adaptation plans, regional plans for southern oblasts, and pilot projects to drive investment.</w:t>
            </w:r>
            <w:r w:rsidR="00C157B8" w:rsidRPr="008043D1">
              <w:rPr>
                <w:sz w:val="18"/>
                <w:szCs w:val="18"/>
              </w:rPr>
              <w:br/>
              <w:t>NAP is also supported by the TA from ADB on two priority sectors.</w:t>
            </w:r>
          </w:p>
        </w:tc>
        <w:tc>
          <w:tcPr>
            <w:tcW w:w="1386" w:type="pct"/>
          </w:tcPr>
          <w:p w14:paraId="14B44C89" w14:textId="77777777" w:rsidR="00965BB8" w:rsidRPr="00CA1FF2" w:rsidRDefault="00910D1C"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CA1FF2">
              <w:rPr>
                <w:sz w:val="18"/>
                <w:szCs w:val="18"/>
              </w:rPr>
              <w:lastRenderedPageBreak/>
              <w:t xml:space="preserve">The project outcomes include the National Adaptation Plan and priority sectoral adaptation plans ("Forest and Biodiversity", "Urban Development", "Health", "Disaster risk reduction", "Agriculture and irrigation") that are being finalized and will be adopted in 2025. The sectoral adaptation plans are supported by the development of sectoral policies. Three separate adaptation plans have been </w:t>
            </w:r>
            <w:r w:rsidRPr="00CA1FF2">
              <w:rPr>
                <w:sz w:val="18"/>
                <w:szCs w:val="18"/>
              </w:rPr>
              <w:lastRenderedPageBreak/>
              <w:t>prepared for the southern regions (</w:t>
            </w:r>
            <w:proofErr w:type="spellStart"/>
            <w:r w:rsidRPr="00CA1FF2">
              <w:rPr>
                <w:sz w:val="18"/>
                <w:szCs w:val="18"/>
              </w:rPr>
              <w:t>Batken</w:t>
            </w:r>
            <w:proofErr w:type="spellEnd"/>
            <w:r w:rsidRPr="00CA1FF2">
              <w:rPr>
                <w:sz w:val="18"/>
                <w:szCs w:val="18"/>
              </w:rPr>
              <w:t xml:space="preserve">, Jalal-Abad and Osh) for the subsequent integration of adaptation to climate change into local development plans. In addition, 16 conceptual ideas for stimulating climate investments have been prepared within the framework of the project. </w:t>
            </w:r>
          </w:p>
          <w:p w14:paraId="2DF0E68F" w14:textId="629BF935" w:rsidR="00E97EFA" w:rsidRPr="00CA1FF2" w:rsidRDefault="00E97EFA"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t>NAP project outcomes allow for prioritization of green financial products for specific sectors and sub-sectors. This provides guidance for future investments, and those financial products that would be developed under the Readiness project.</w:t>
            </w:r>
            <w:r w:rsidR="00BE27B6" w:rsidRPr="008043D1">
              <w:rPr>
                <w:sz w:val="18"/>
                <w:szCs w:val="18"/>
              </w:rPr>
              <w:t xml:space="preserve"> </w:t>
            </w:r>
            <w:r w:rsidR="00FC1260" w:rsidRPr="008043D1">
              <w:rPr>
                <w:sz w:val="18"/>
                <w:szCs w:val="18"/>
              </w:rPr>
              <w:t>Sectoral adaptation plans developed with support of the NAP project would contribute to operationalization of Green Taxonomy providing specifics for the guidelines to be developed under proposed project.</w:t>
            </w:r>
          </w:p>
        </w:tc>
        <w:tc>
          <w:tcPr>
            <w:tcW w:w="1099" w:type="pct"/>
          </w:tcPr>
          <w:p w14:paraId="0DC9BC51" w14:textId="5444BD7F" w:rsidR="001616E7" w:rsidRPr="008043D1" w:rsidRDefault="008B5753"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lastRenderedPageBreak/>
              <w:t xml:space="preserve">Key lessons learned from the </w:t>
            </w:r>
            <w:r w:rsidR="007E6366" w:rsidRPr="008043D1">
              <w:rPr>
                <w:sz w:val="18"/>
                <w:szCs w:val="18"/>
              </w:rPr>
              <w:t>Project</w:t>
            </w:r>
            <w:r w:rsidRPr="008043D1">
              <w:rPr>
                <w:sz w:val="18"/>
                <w:szCs w:val="18"/>
              </w:rPr>
              <w:t xml:space="preserve"> highlight the importance of robust interagency coordination and stakeholder engagement to ensure alignment with national priorities and sectoral strategies. Challenges included limited institutional capacities and technical expertise to integrate climate risks into planning, </w:t>
            </w:r>
            <w:r w:rsidRPr="008043D1">
              <w:rPr>
                <w:sz w:val="18"/>
                <w:szCs w:val="18"/>
              </w:rPr>
              <w:lastRenderedPageBreak/>
              <w:t>as well as inadequate financing mechanisms to support adaptation implementation. These experiences underline the need for capacity-building, stronger regulatory frameworks, and sustained financial support to advance medium- and long-term climate resilience.</w:t>
            </w:r>
          </w:p>
        </w:tc>
      </w:tr>
      <w:tr w:rsidR="007974F9" w:rsidRPr="008043D1" w14:paraId="7D462A18" w14:textId="77777777" w:rsidTr="002712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2" w:type="pct"/>
          </w:tcPr>
          <w:p w14:paraId="15D22224" w14:textId="648E11FC" w:rsidR="007974F9" w:rsidRPr="008043D1" w:rsidRDefault="007974F9" w:rsidP="0027129E">
            <w:pPr>
              <w:spacing w:after="120"/>
              <w:jc w:val="both"/>
              <w:rPr>
                <w:b w:val="0"/>
                <w:bCs w:val="0"/>
                <w:sz w:val="18"/>
                <w:szCs w:val="18"/>
              </w:rPr>
            </w:pPr>
            <w:r w:rsidRPr="008043D1">
              <w:rPr>
                <w:sz w:val="18"/>
                <w:szCs w:val="18"/>
              </w:rPr>
              <w:lastRenderedPageBreak/>
              <w:t>Strengthening Kyrgyzstan’s capacity to manage the climate finance process and prepare quality projects, part of ILUCA Regional Programme</w:t>
            </w:r>
            <w:r w:rsidR="007943B2" w:rsidRPr="008043D1">
              <w:rPr>
                <w:rStyle w:val="FootnoteReference"/>
                <w:sz w:val="18"/>
                <w:szCs w:val="18"/>
              </w:rPr>
              <w:footnoteReference w:id="106"/>
            </w:r>
          </w:p>
          <w:p w14:paraId="39748450" w14:textId="77777777" w:rsidR="007974F9" w:rsidRPr="008043D1" w:rsidRDefault="007974F9" w:rsidP="0027129E">
            <w:pPr>
              <w:spacing w:after="120"/>
              <w:jc w:val="both"/>
              <w:rPr>
                <w:sz w:val="18"/>
                <w:szCs w:val="18"/>
              </w:rPr>
            </w:pPr>
            <w:r w:rsidRPr="008043D1">
              <w:rPr>
                <w:b w:val="0"/>
                <w:bCs w:val="0"/>
                <w:sz w:val="18"/>
                <w:szCs w:val="18"/>
              </w:rPr>
              <w:t>Total Budget: EUR 0.876</w:t>
            </w:r>
            <w:r w:rsidRPr="008043D1">
              <w:rPr>
                <w:b w:val="0"/>
                <w:bCs w:val="0"/>
                <w:sz w:val="18"/>
                <w:szCs w:val="18"/>
              </w:rPr>
              <w:br/>
            </w:r>
            <w:r w:rsidRPr="008043D1">
              <w:rPr>
                <w:b w:val="0"/>
                <w:bCs w:val="0"/>
                <w:sz w:val="18"/>
                <w:szCs w:val="18"/>
              </w:rPr>
              <w:br/>
              <w:t>Provided by: GCF</w:t>
            </w:r>
            <w:r w:rsidRPr="008043D1">
              <w:rPr>
                <w:b w:val="0"/>
                <w:bCs w:val="0"/>
                <w:sz w:val="18"/>
                <w:szCs w:val="18"/>
              </w:rPr>
              <w:br/>
            </w:r>
            <w:r w:rsidRPr="008043D1">
              <w:rPr>
                <w:b w:val="0"/>
                <w:bCs w:val="0"/>
                <w:sz w:val="18"/>
                <w:szCs w:val="18"/>
              </w:rPr>
              <w:br/>
              <w:t>Duration: January 2024-December 2025</w:t>
            </w:r>
          </w:p>
          <w:p w14:paraId="092918D3" w14:textId="4604C49C" w:rsidR="007974F9" w:rsidRPr="008043D1" w:rsidRDefault="007974F9" w:rsidP="0027129E">
            <w:pPr>
              <w:spacing w:after="120"/>
              <w:jc w:val="both"/>
              <w:rPr>
                <w:sz w:val="18"/>
                <w:szCs w:val="18"/>
              </w:rPr>
            </w:pPr>
            <w:r w:rsidRPr="008043D1">
              <w:rPr>
                <w:b w:val="0"/>
                <w:bCs w:val="0"/>
                <w:sz w:val="18"/>
                <w:szCs w:val="18"/>
              </w:rPr>
              <w:t>IP: GIZ</w:t>
            </w:r>
          </w:p>
        </w:tc>
        <w:tc>
          <w:tcPr>
            <w:tcW w:w="1323" w:type="pct"/>
          </w:tcPr>
          <w:p w14:paraId="08AA0B8E" w14:textId="656B0BE4" w:rsidR="007974F9" w:rsidRPr="008043D1" w:rsidRDefault="00A60D39"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rPr>
            </w:pPr>
            <w:r w:rsidRPr="008043D1">
              <w:rPr>
                <w:sz w:val="18"/>
                <w:szCs w:val="18"/>
              </w:rPr>
              <w:t xml:space="preserve">The overall objective of this proposed Readiness Project is to prepare the country for the mobilization and implementation of climate finance through capacity building in climate project development to meet NDC targets. </w:t>
            </w:r>
            <w:r w:rsidR="007974F9" w:rsidRPr="008043D1">
              <w:rPr>
                <w:sz w:val="18"/>
                <w:szCs w:val="18"/>
              </w:rPr>
              <w:t xml:space="preserve">The key </w:t>
            </w:r>
            <w:r w:rsidRPr="008043D1">
              <w:rPr>
                <w:sz w:val="18"/>
                <w:szCs w:val="18"/>
              </w:rPr>
              <w:t>goals include</w:t>
            </w:r>
            <w:r w:rsidR="007974F9" w:rsidRPr="008043D1">
              <w:rPr>
                <w:sz w:val="18"/>
                <w:szCs w:val="18"/>
              </w:rPr>
              <w:t xml:space="preserve"> improving the framework conditions to access climate finance in Kyrgyzstan and bolster the country’s capacity to implement climate solutions aligned with its NDCs and SDG priorities.</w:t>
            </w:r>
          </w:p>
        </w:tc>
        <w:tc>
          <w:tcPr>
            <w:tcW w:w="1386" w:type="pct"/>
          </w:tcPr>
          <w:p w14:paraId="7E8A0333" w14:textId="1A5C1476" w:rsidR="007974F9" w:rsidRPr="008043D1" w:rsidRDefault="0052604A"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8043D1">
              <w:rPr>
                <w:sz w:val="18"/>
                <w:szCs w:val="18"/>
              </w:rPr>
              <w:t xml:space="preserve">Development of the Country Programme (Investment Programme) will inform </w:t>
            </w:r>
            <w:r w:rsidR="009975BF" w:rsidRPr="008043D1">
              <w:rPr>
                <w:sz w:val="18"/>
                <w:szCs w:val="18"/>
              </w:rPr>
              <w:t>activities of the proposed project focused on financial products design, concept note development.</w:t>
            </w:r>
          </w:p>
        </w:tc>
        <w:tc>
          <w:tcPr>
            <w:tcW w:w="1099" w:type="pct"/>
          </w:tcPr>
          <w:p w14:paraId="0FA9B9B6" w14:textId="2C76A402" w:rsidR="00821494" w:rsidRPr="008043D1" w:rsidRDefault="00821494" w:rsidP="0027129E">
            <w:pPr>
              <w:jc w:val="both"/>
              <w:cnfStyle w:val="000000100000" w:firstRow="0" w:lastRow="0" w:firstColumn="0" w:lastColumn="0" w:oddVBand="0" w:evenVBand="0" w:oddHBand="1" w:evenHBand="0" w:firstRowFirstColumn="0" w:firstRowLastColumn="0" w:lastRowFirstColumn="0" w:lastRowLastColumn="0"/>
              <w:rPr>
                <w:sz w:val="18"/>
                <w:szCs w:val="18"/>
                <w:lang w:val="en-GB"/>
              </w:rPr>
            </w:pPr>
            <w:r w:rsidRPr="008043D1">
              <w:rPr>
                <w:sz w:val="18"/>
                <w:szCs w:val="18"/>
                <w:lang w:val="en-GB"/>
              </w:rPr>
              <w:t>Limited Data and Reporting Systems: Lack of robust systems for tracking, verifying, and reporting on climate finance activities has created bottlenecks in aligning project proposals with global standards.</w:t>
            </w:r>
          </w:p>
        </w:tc>
      </w:tr>
      <w:tr w:rsidR="007974F9" w:rsidRPr="008043D1" w14:paraId="5E5E4AF4" w14:textId="77777777" w:rsidTr="0027129E">
        <w:trPr>
          <w:trHeight w:val="300"/>
        </w:trPr>
        <w:tc>
          <w:tcPr>
            <w:cnfStyle w:val="001000000000" w:firstRow="0" w:lastRow="0" w:firstColumn="1" w:lastColumn="0" w:oddVBand="0" w:evenVBand="0" w:oddHBand="0" w:evenHBand="0" w:firstRowFirstColumn="0" w:firstRowLastColumn="0" w:lastRowFirstColumn="0" w:lastRowLastColumn="0"/>
            <w:tcW w:w="1192" w:type="pct"/>
          </w:tcPr>
          <w:p w14:paraId="209DCF1F" w14:textId="2AFAF497" w:rsidR="007974F9" w:rsidRPr="008043D1" w:rsidRDefault="007974F9" w:rsidP="0027129E">
            <w:pPr>
              <w:spacing w:after="120"/>
              <w:jc w:val="both"/>
              <w:rPr>
                <w:sz w:val="18"/>
                <w:szCs w:val="18"/>
              </w:rPr>
            </w:pPr>
            <w:r w:rsidRPr="008043D1">
              <w:rPr>
                <w:sz w:val="18"/>
                <w:szCs w:val="18"/>
              </w:rPr>
              <w:t>UNDP Biodiversity Finance Initiative (Phase II)</w:t>
            </w:r>
            <w:r w:rsidRPr="008043D1">
              <w:rPr>
                <w:rStyle w:val="FootnoteReference"/>
                <w:sz w:val="18"/>
                <w:szCs w:val="18"/>
              </w:rPr>
              <w:footnoteReference w:id="107"/>
            </w:r>
            <w:r w:rsidRPr="008043D1">
              <w:rPr>
                <w:b w:val="0"/>
                <w:bCs w:val="0"/>
                <w:sz w:val="18"/>
                <w:szCs w:val="18"/>
              </w:rPr>
              <w:br/>
            </w:r>
            <w:r w:rsidRPr="008043D1">
              <w:rPr>
                <w:b w:val="0"/>
                <w:bCs w:val="0"/>
                <w:sz w:val="18"/>
                <w:szCs w:val="18"/>
              </w:rPr>
              <w:lastRenderedPageBreak/>
              <w:br/>
              <w:t>Total Budget: USD 0.916 million</w:t>
            </w:r>
            <w:r w:rsidRPr="008043D1">
              <w:rPr>
                <w:b w:val="0"/>
                <w:bCs w:val="0"/>
                <w:sz w:val="18"/>
                <w:szCs w:val="18"/>
              </w:rPr>
              <w:br/>
            </w:r>
            <w:r w:rsidRPr="008043D1">
              <w:rPr>
                <w:b w:val="0"/>
                <w:bCs w:val="0"/>
                <w:sz w:val="18"/>
                <w:szCs w:val="18"/>
              </w:rPr>
              <w:br/>
              <w:t>Provided by: Germany / IKI, EU and Government of Switzerland</w:t>
            </w:r>
            <w:r w:rsidRPr="008043D1">
              <w:rPr>
                <w:b w:val="0"/>
                <w:bCs w:val="0"/>
                <w:sz w:val="18"/>
                <w:szCs w:val="18"/>
              </w:rPr>
              <w:br/>
            </w:r>
            <w:r w:rsidRPr="008043D1">
              <w:rPr>
                <w:b w:val="0"/>
                <w:bCs w:val="0"/>
                <w:sz w:val="18"/>
                <w:szCs w:val="18"/>
              </w:rPr>
              <w:br/>
              <w:t>Duration: 2019-2025</w:t>
            </w:r>
          </w:p>
          <w:p w14:paraId="5D810A54" w14:textId="6BC1E685" w:rsidR="007974F9" w:rsidRPr="008043D1" w:rsidRDefault="007974F9" w:rsidP="0027129E">
            <w:pPr>
              <w:spacing w:after="120"/>
              <w:jc w:val="both"/>
              <w:rPr>
                <w:b w:val="0"/>
                <w:bCs w:val="0"/>
                <w:sz w:val="18"/>
                <w:szCs w:val="18"/>
              </w:rPr>
            </w:pPr>
            <w:r w:rsidRPr="008043D1">
              <w:rPr>
                <w:b w:val="0"/>
                <w:bCs w:val="0"/>
                <w:sz w:val="18"/>
                <w:szCs w:val="18"/>
              </w:rPr>
              <w:t xml:space="preserve">IP: </w:t>
            </w:r>
            <w:r w:rsidRPr="008043D1">
              <w:rPr>
                <w:b w:val="0"/>
                <w:bCs w:val="0"/>
                <w:sz w:val="18"/>
                <w:szCs w:val="18"/>
                <w:lang w:val="en-GB"/>
              </w:rPr>
              <w:t>United Nations Development Programme</w:t>
            </w:r>
          </w:p>
        </w:tc>
        <w:tc>
          <w:tcPr>
            <w:tcW w:w="1323" w:type="pct"/>
          </w:tcPr>
          <w:p w14:paraId="3A761C8C" w14:textId="5D236AD1"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lastRenderedPageBreak/>
              <w:t xml:space="preserve">The aim of BIOFIN- Phase II is to implement national resource mobilization strategies to </w:t>
            </w:r>
            <w:r w:rsidRPr="008043D1">
              <w:rPr>
                <w:sz w:val="18"/>
                <w:szCs w:val="18"/>
              </w:rPr>
              <w:lastRenderedPageBreak/>
              <w:t>increase the investments for biodiversity. The financial decisions approved by the project's Steering Committee, aimed at introducing new alternative sources of biodiversity financing through the Biodiversity Conservation Trust Fund establishment, reforming harmful subsidies in agriculture sector, improving the financing framework of the protected areas and forestry, D</w:t>
            </w:r>
            <w:r w:rsidR="00621295" w:rsidRPr="008043D1">
              <w:rPr>
                <w:sz w:val="18"/>
                <w:szCs w:val="18"/>
              </w:rPr>
              <w:t xml:space="preserve">ebt </w:t>
            </w:r>
            <w:r w:rsidRPr="008043D1">
              <w:rPr>
                <w:sz w:val="18"/>
                <w:szCs w:val="18"/>
              </w:rPr>
              <w:t>f</w:t>
            </w:r>
            <w:r w:rsidR="00621295" w:rsidRPr="008043D1">
              <w:rPr>
                <w:sz w:val="18"/>
                <w:szCs w:val="18"/>
              </w:rPr>
              <w:t xml:space="preserve">or </w:t>
            </w:r>
            <w:r w:rsidRPr="008043D1">
              <w:rPr>
                <w:sz w:val="18"/>
                <w:szCs w:val="18"/>
              </w:rPr>
              <w:t>N</w:t>
            </w:r>
            <w:r w:rsidR="00621295" w:rsidRPr="008043D1">
              <w:rPr>
                <w:sz w:val="18"/>
                <w:szCs w:val="18"/>
              </w:rPr>
              <w:t xml:space="preserve">ature </w:t>
            </w:r>
            <w:r w:rsidRPr="008043D1">
              <w:rPr>
                <w:sz w:val="18"/>
                <w:szCs w:val="18"/>
              </w:rPr>
              <w:t>S</w:t>
            </w:r>
            <w:r w:rsidR="00621295" w:rsidRPr="008043D1">
              <w:rPr>
                <w:sz w:val="18"/>
                <w:szCs w:val="18"/>
              </w:rPr>
              <w:t>wap</w:t>
            </w:r>
            <w:r w:rsidRPr="008043D1">
              <w:rPr>
                <w:sz w:val="18"/>
                <w:szCs w:val="18"/>
              </w:rPr>
              <w:t>, and introduction of an effective system of financial self-sufficiency in protected areas. The project was extended with cost extension with additional funding from EU and IKI until 2025.</w:t>
            </w:r>
          </w:p>
        </w:tc>
        <w:tc>
          <w:tcPr>
            <w:tcW w:w="1386" w:type="pct"/>
          </w:tcPr>
          <w:p w14:paraId="6031ED24" w14:textId="548713F7" w:rsidR="007974F9" w:rsidRPr="008043D1" w:rsidRDefault="00C122D1"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lastRenderedPageBreak/>
              <w:t xml:space="preserve">Development of a strategic plan to mainstream nature into financial policies, practices, and </w:t>
            </w:r>
            <w:r w:rsidRPr="008043D1">
              <w:rPr>
                <w:sz w:val="18"/>
                <w:szCs w:val="18"/>
              </w:rPr>
              <w:lastRenderedPageBreak/>
              <w:t xml:space="preserve">decision-making processes. The goal is to ensure that financial institutions contribute to the conservation and sustainable use of biodiversity, thereby enhancing ecosystem services and reducing biodiversity loss. Through comprehensive engagement and consultations with the National Bank of the Kyrgyz Republic, the Union of Banks of Kyrgyzstan and financial sector players, the scope will potentially include the integration of nature into financial policy and regulations, support in ESG implementation, integration of Nature related financial disclosure (NFD) through enhancement of risk assessment and management framework and transparent reporting framework, and capacity building. </w:t>
            </w:r>
          </w:p>
        </w:tc>
        <w:tc>
          <w:tcPr>
            <w:tcW w:w="1099" w:type="pct"/>
          </w:tcPr>
          <w:p w14:paraId="39054DF6" w14:textId="77777777" w:rsidR="007974F9" w:rsidRPr="008043D1" w:rsidRDefault="00C122D1"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lastRenderedPageBreak/>
              <w:t xml:space="preserve">Government agencies often face constraints in effectively integrating </w:t>
            </w:r>
            <w:r w:rsidRPr="008043D1">
              <w:rPr>
                <w:sz w:val="18"/>
                <w:szCs w:val="18"/>
              </w:rPr>
              <w:lastRenderedPageBreak/>
              <w:t>biodiversity considerations into policies and financial planning due to limited technical expertise and insufficient resources dedicated to environmental issues.</w:t>
            </w:r>
          </w:p>
          <w:p w14:paraId="76636673" w14:textId="05B31BA3" w:rsidR="00C122D1" w:rsidRPr="008043D1" w:rsidRDefault="00C122D1" w:rsidP="0027129E">
            <w:pPr>
              <w:spacing w:after="120"/>
              <w:jc w:val="both"/>
              <w:cnfStyle w:val="000000000000" w:firstRow="0" w:lastRow="0" w:firstColumn="0" w:lastColumn="0" w:oddVBand="0" w:evenVBand="0" w:oddHBand="0" w:evenHBand="0" w:firstRowFirstColumn="0" w:firstRowLastColumn="0" w:lastRowFirstColumn="0" w:lastRowLastColumn="0"/>
              <w:rPr>
                <w:b/>
                <w:bCs/>
                <w:sz w:val="18"/>
                <w:szCs w:val="18"/>
              </w:rPr>
            </w:pPr>
            <w:r w:rsidRPr="008043D1">
              <w:rPr>
                <w:sz w:val="18"/>
                <w:szCs w:val="18"/>
              </w:rPr>
              <w:t>There is a general lack of awareness among government stakeholders about the economic value of biodiversity and the importance of its conservation. This results in biodiversity being undervalued in national development agendas.</w:t>
            </w:r>
          </w:p>
        </w:tc>
      </w:tr>
      <w:tr w:rsidR="007974F9" w:rsidRPr="008043D1" w14:paraId="1D47DE6B" w14:textId="77777777" w:rsidTr="002712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2" w:type="pct"/>
          </w:tcPr>
          <w:p w14:paraId="3AEB9E58" w14:textId="77777777" w:rsidR="007974F9" w:rsidRPr="008043D1" w:rsidRDefault="007974F9" w:rsidP="0027129E">
            <w:pPr>
              <w:spacing w:after="120"/>
              <w:jc w:val="both"/>
              <w:rPr>
                <w:sz w:val="18"/>
                <w:szCs w:val="18"/>
              </w:rPr>
            </w:pPr>
            <w:r w:rsidRPr="008043D1">
              <w:rPr>
                <w:sz w:val="18"/>
                <w:szCs w:val="18"/>
              </w:rPr>
              <w:lastRenderedPageBreak/>
              <w:t>Climate Promise: Next Steps (Phase 2). NDC Implementation/LTS Development</w:t>
            </w:r>
            <w:r w:rsidRPr="008043D1">
              <w:rPr>
                <w:b w:val="0"/>
                <w:bCs w:val="0"/>
                <w:sz w:val="18"/>
                <w:szCs w:val="18"/>
              </w:rPr>
              <w:br/>
            </w:r>
            <w:r w:rsidRPr="008043D1">
              <w:rPr>
                <w:b w:val="0"/>
                <w:bCs w:val="0"/>
                <w:sz w:val="18"/>
                <w:szCs w:val="18"/>
              </w:rPr>
              <w:br/>
              <w:t>Total budget: USD 0.35 million</w:t>
            </w:r>
            <w:r w:rsidRPr="008043D1">
              <w:rPr>
                <w:b w:val="0"/>
                <w:bCs w:val="0"/>
                <w:sz w:val="18"/>
                <w:szCs w:val="18"/>
              </w:rPr>
              <w:br/>
            </w:r>
            <w:r w:rsidRPr="008043D1">
              <w:rPr>
                <w:b w:val="0"/>
                <w:bCs w:val="0"/>
                <w:sz w:val="18"/>
                <w:szCs w:val="18"/>
              </w:rPr>
              <w:br/>
              <w:t>Provided by: Germany / BMZ</w:t>
            </w:r>
          </w:p>
          <w:p w14:paraId="29C62C29" w14:textId="08B57375" w:rsidR="007974F9" w:rsidRPr="008043D1" w:rsidRDefault="007974F9" w:rsidP="0027129E">
            <w:pPr>
              <w:spacing w:after="120"/>
              <w:jc w:val="both"/>
              <w:rPr>
                <w:b w:val="0"/>
                <w:bCs w:val="0"/>
                <w:sz w:val="18"/>
                <w:szCs w:val="18"/>
              </w:rPr>
            </w:pPr>
            <w:r w:rsidRPr="008043D1">
              <w:rPr>
                <w:b w:val="0"/>
                <w:bCs w:val="0"/>
                <w:sz w:val="18"/>
                <w:szCs w:val="18"/>
              </w:rPr>
              <w:t>Duration: 2022-2023</w:t>
            </w:r>
            <w:r w:rsidRPr="008043D1">
              <w:rPr>
                <w:b w:val="0"/>
                <w:bCs w:val="0"/>
                <w:sz w:val="18"/>
                <w:szCs w:val="18"/>
              </w:rPr>
              <w:br/>
            </w:r>
            <w:r w:rsidRPr="008043D1">
              <w:rPr>
                <w:b w:val="0"/>
                <w:bCs w:val="0"/>
                <w:sz w:val="18"/>
                <w:szCs w:val="18"/>
              </w:rPr>
              <w:br/>
              <w:t xml:space="preserve">IP: </w:t>
            </w:r>
            <w:r w:rsidRPr="008043D1">
              <w:rPr>
                <w:b w:val="0"/>
                <w:bCs w:val="0"/>
                <w:sz w:val="18"/>
                <w:szCs w:val="18"/>
                <w:lang w:val="en-GB"/>
              </w:rPr>
              <w:t>United Nations Development Programme</w:t>
            </w:r>
          </w:p>
        </w:tc>
        <w:tc>
          <w:tcPr>
            <w:tcW w:w="1323" w:type="pct"/>
          </w:tcPr>
          <w:p w14:paraId="3298F3C4" w14:textId="478B6034" w:rsidR="007974F9" w:rsidRPr="008043D1" w:rsidRDefault="007974F9"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rPr>
            </w:pPr>
            <w:r w:rsidRPr="008043D1">
              <w:rPr>
                <w:sz w:val="18"/>
                <w:szCs w:val="18"/>
              </w:rPr>
              <w:t>Focus on activities on advancing NDC implementation planning. This includes implementation plans, financing strategies, concept for long-term net-zero and climate resilient pathways.</w:t>
            </w:r>
          </w:p>
        </w:tc>
        <w:tc>
          <w:tcPr>
            <w:tcW w:w="1386" w:type="pct"/>
          </w:tcPr>
          <w:p w14:paraId="30CC7BFF" w14:textId="051C5659" w:rsidR="007974F9" w:rsidRPr="008043D1" w:rsidRDefault="007974F9" w:rsidP="0027129E">
            <w:pPr>
              <w:spacing w:after="120"/>
              <w:jc w:val="both"/>
              <w:cnfStyle w:val="000000100000" w:firstRow="0" w:lastRow="0" w:firstColumn="0" w:lastColumn="0" w:oddVBand="0" w:evenVBand="0" w:oddHBand="1" w:evenHBand="0" w:firstRowFirstColumn="0" w:firstRowLastColumn="0" w:lastRowFirstColumn="0" w:lastRowLastColumn="0"/>
              <w:rPr>
                <w:i/>
                <w:iCs/>
                <w:sz w:val="18"/>
                <w:szCs w:val="18"/>
              </w:rPr>
            </w:pPr>
            <w:r w:rsidRPr="008043D1">
              <w:rPr>
                <w:sz w:val="18"/>
                <w:szCs w:val="18"/>
              </w:rPr>
              <w:t>The project has a high level of synergy with the proposed Readiness project, providing support to key climate policies – NDC development, NDC implementation plan, Long-Term low-carbon development strategy. Climate promise results also offer valuable knowledge products, e.g.  the Concept of the development of climate finance in the Kyrgyz Republic, and provided capacitation to the key national stakeholders relevant for the green and climate finance agenda.</w:t>
            </w:r>
          </w:p>
        </w:tc>
        <w:tc>
          <w:tcPr>
            <w:tcW w:w="1099" w:type="pct"/>
          </w:tcPr>
          <w:p w14:paraId="2FBDBEA7" w14:textId="13D953D1" w:rsidR="007974F9" w:rsidRPr="008043D1" w:rsidRDefault="00C516F8"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rPr>
            </w:pPr>
            <w:r w:rsidRPr="008043D1">
              <w:rPr>
                <w:sz w:val="18"/>
                <w:szCs w:val="18"/>
              </w:rPr>
              <w:t xml:space="preserve">The implementation of the project highlighted the importance of cross-sectoral collaboration, stakeholder engagement, and capacity-building to ensure effective implementation of Kyrgyzstan’s NDC and development of its Long-Term Low-Emission Development Strategy (LTS). Key lessons learned include the critical role of reliable data for decision-making, the integration of gender and social inclusion, and the need for coordinated efforts across sectors to achieve climate goals. However, challenges such as limited technical capacity, weak regulatory frameworks, and difficulties in mobilizing financial resources hindered progress. The project underscores the necessity of stronger governance mechanisms </w:t>
            </w:r>
            <w:r w:rsidRPr="008043D1">
              <w:rPr>
                <w:sz w:val="18"/>
                <w:szCs w:val="18"/>
              </w:rPr>
              <w:lastRenderedPageBreak/>
              <w:t>and sustained support to address these barriers effectively.</w:t>
            </w:r>
          </w:p>
        </w:tc>
      </w:tr>
      <w:tr w:rsidR="007974F9" w:rsidRPr="008043D1" w14:paraId="4C0B6F37" w14:textId="77777777" w:rsidTr="0027129E">
        <w:trPr>
          <w:trHeight w:val="300"/>
        </w:trPr>
        <w:tc>
          <w:tcPr>
            <w:cnfStyle w:val="001000000000" w:firstRow="0" w:lastRow="0" w:firstColumn="1" w:lastColumn="0" w:oddVBand="0" w:evenVBand="0" w:oddHBand="0" w:evenHBand="0" w:firstRowFirstColumn="0" w:firstRowLastColumn="0" w:lastRowFirstColumn="0" w:lastRowLastColumn="0"/>
            <w:tcW w:w="1192" w:type="pct"/>
          </w:tcPr>
          <w:p w14:paraId="187C40C7" w14:textId="0858B5E7" w:rsidR="007974F9" w:rsidRPr="008043D1" w:rsidRDefault="007974F9" w:rsidP="0027129E">
            <w:pPr>
              <w:spacing w:after="120"/>
              <w:jc w:val="both"/>
              <w:rPr>
                <w:sz w:val="18"/>
                <w:szCs w:val="18"/>
                <w:lang w:val="en-GB"/>
              </w:rPr>
            </w:pPr>
            <w:r w:rsidRPr="008043D1">
              <w:rPr>
                <w:sz w:val="18"/>
                <w:szCs w:val="18"/>
                <w:lang w:val="en-GB"/>
              </w:rPr>
              <w:lastRenderedPageBreak/>
              <w:t>Partnership for Action on Green Economy (PAGE)</w:t>
            </w:r>
          </w:p>
          <w:p w14:paraId="5CDCC7E4" w14:textId="31C7EA06" w:rsidR="007974F9" w:rsidRPr="008043D1" w:rsidRDefault="007974F9" w:rsidP="0027129E">
            <w:pPr>
              <w:spacing w:after="120"/>
              <w:jc w:val="both"/>
              <w:rPr>
                <w:b w:val="0"/>
                <w:bCs w:val="0"/>
                <w:sz w:val="18"/>
                <w:szCs w:val="18"/>
                <w:lang w:val="en-GB"/>
              </w:rPr>
            </w:pPr>
            <w:r w:rsidRPr="008043D1">
              <w:rPr>
                <w:b w:val="0"/>
                <w:bCs w:val="0"/>
                <w:sz w:val="18"/>
                <w:szCs w:val="18"/>
                <w:lang w:val="en-GB"/>
              </w:rPr>
              <w:t xml:space="preserve">Total budget: USD </w:t>
            </w:r>
            <w:r w:rsidR="00C74A33" w:rsidRPr="008043D1">
              <w:rPr>
                <w:b w:val="0"/>
                <w:bCs w:val="0"/>
                <w:sz w:val="18"/>
                <w:szCs w:val="18"/>
                <w:lang w:val="en-GB"/>
              </w:rPr>
              <w:t>1</w:t>
            </w:r>
            <w:r w:rsidRPr="008043D1">
              <w:rPr>
                <w:b w:val="0"/>
                <w:bCs w:val="0"/>
                <w:sz w:val="18"/>
                <w:szCs w:val="18"/>
                <w:lang w:val="en-GB"/>
              </w:rPr>
              <w:t>.31 million</w:t>
            </w:r>
          </w:p>
          <w:p w14:paraId="476693EA" w14:textId="77777777" w:rsidR="007974F9" w:rsidRPr="008043D1" w:rsidRDefault="007974F9" w:rsidP="0027129E">
            <w:pPr>
              <w:spacing w:after="120"/>
              <w:jc w:val="both"/>
              <w:rPr>
                <w:sz w:val="18"/>
                <w:szCs w:val="18"/>
                <w:lang w:val="en-GB"/>
              </w:rPr>
            </w:pPr>
            <w:r w:rsidRPr="008043D1">
              <w:rPr>
                <w:b w:val="0"/>
                <w:bCs w:val="0"/>
                <w:sz w:val="18"/>
                <w:szCs w:val="18"/>
                <w:lang w:val="en-GB"/>
              </w:rPr>
              <w:t>Provided by MPTF</w:t>
            </w:r>
          </w:p>
          <w:p w14:paraId="696B9975" w14:textId="65AE4D4E" w:rsidR="007974F9" w:rsidRPr="008043D1" w:rsidRDefault="007974F9" w:rsidP="0027129E">
            <w:pPr>
              <w:spacing w:after="120"/>
              <w:jc w:val="both"/>
              <w:rPr>
                <w:b w:val="0"/>
                <w:bCs w:val="0"/>
                <w:sz w:val="18"/>
                <w:szCs w:val="18"/>
                <w:lang w:val="en-GB"/>
              </w:rPr>
            </w:pPr>
            <w:r w:rsidRPr="008043D1">
              <w:rPr>
                <w:b w:val="0"/>
                <w:bCs w:val="0"/>
                <w:sz w:val="18"/>
                <w:szCs w:val="18"/>
              </w:rPr>
              <w:t>Duration: 2017-2023</w:t>
            </w:r>
            <w:r w:rsidRPr="008043D1">
              <w:rPr>
                <w:b w:val="0"/>
                <w:bCs w:val="0"/>
                <w:sz w:val="18"/>
                <w:szCs w:val="18"/>
              </w:rPr>
              <w:br/>
            </w:r>
            <w:r w:rsidRPr="008043D1">
              <w:rPr>
                <w:b w:val="0"/>
                <w:bCs w:val="0"/>
                <w:sz w:val="18"/>
                <w:szCs w:val="18"/>
              </w:rPr>
              <w:br/>
              <w:t xml:space="preserve">IP: </w:t>
            </w:r>
            <w:r w:rsidRPr="008043D1">
              <w:rPr>
                <w:b w:val="0"/>
                <w:bCs w:val="0"/>
                <w:sz w:val="18"/>
                <w:szCs w:val="18"/>
                <w:lang w:val="en-GB"/>
              </w:rPr>
              <w:t>UNDP, UNEP, ILO, UNIDO and UNITAR</w:t>
            </w:r>
          </w:p>
        </w:tc>
        <w:tc>
          <w:tcPr>
            <w:tcW w:w="1323" w:type="pct"/>
          </w:tcPr>
          <w:p w14:paraId="47D98593" w14:textId="77777777"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t>Under the PAGE project the expected outcomes include:</w:t>
            </w:r>
            <w:r w:rsidRPr="008043D1">
              <w:rPr>
                <w:sz w:val="18"/>
                <w:szCs w:val="18"/>
              </w:rPr>
              <w:br/>
              <w:t>The integration of inclusive green economy (IGE) goals and targets into SDG-aligned national economic and development planning through effective multistakeholder collaboration.</w:t>
            </w:r>
          </w:p>
          <w:p w14:paraId="7EE63576" w14:textId="77777777"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t>The implementation of evidence-based sectoral and thematic reforms in alignment with national IGE priorities.</w:t>
            </w:r>
          </w:p>
          <w:p w14:paraId="5FEB1A68" w14:textId="3457D127"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t>The strengthening of individual, institutional, and planning capacities to support IGE action.</w:t>
            </w:r>
          </w:p>
        </w:tc>
        <w:tc>
          <w:tcPr>
            <w:tcW w:w="1386" w:type="pct"/>
          </w:tcPr>
          <w:p w14:paraId="5961001D" w14:textId="137AF66A"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i/>
                <w:iCs/>
                <w:sz w:val="18"/>
                <w:szCs w:val="18"/>
                <w:highlight w:val="yellow"/>
              </w:rPr>
            </w:pPr>
            <w:r w:rsidRPr="008043D1">
              <w:rPr>
                <w:sz w:val="18"/>
                <w:szCs w:val="18"/>
              </w:rPr>
              <w:t xml:space="preserve">The project has a high level of synergy with the proposed Readiness project, providing support to building an enabling environment for </w:t>
            </w:r>
            <w:r w:rsidR="008F20BF" w:rsidRPr="008043D1">
              <w:rPr>
                <w:sz w:val="18"/>
                <w:szCs w:val="18"/>
              </w:rPr>
              <w:t>green</w:t>
            </w:r>
            <w:r w:rsidRPr="008043D1">
              <w:rPr>
                <w:sz w:val="18"/>
                <w:szCs w:val="18"/>
              </w:rPr>
              <w:t xml:space="preserve"> and climate finance and to establishing key climate policies and strategies. </w:t>
            </w:r>
            <w:r w:rsidR="008F20BF" w:rsidRPr="008043D1">
              <w:rPr>
                <w:sz w:val="18"/>
                <w:szCs w:val="18"/>
              </w:rPr>
              <w:t>PAGE</w:t>
            </w:r>
            <w:r w:rsidRPr="008043D1">
              <w:rPr>
                <w:sz w:val="18"/>
                <w:szCs w:val="18"/>
              </w:rPr>
              <w:t xml:space="preserve"> supported the development of the Green Economy Development Programme 2019-2023, capacitation of national stakeholders in green modelling, etc., and knowledge exchange with counterparts from Mongolia, green agenda events, etc. The key for the readiness project is the feasibility study on establishing a Green Finance Vehicle in Kyrgyzstan and developing Green Market assessment</w:t>
            </w:r>
            <w:r w:rsidRPr="008043D1">
              <w:rPr>
                <w:rStyle w:val="FootnoteReference"/>
                <w:sz w:val="18"/>
                <w:szCs w:val="18"/>
              </w:rPr>
              <w:footnoteReference w:id="108"/>
            </w:r>
            <w:r w:rsidRPr="008043D1">
              <w:rPr>
                <w:sz w:val="18"/>
                <w:szCs w:val="18"/>
                <w:vertAlign w:val="superscript"/>
              </w:rPr>
              <w:t>,</w:t>
            </w:r>
            <w:r w:rsidRPr="008043D1">
              <w:rPr>
                <w:rStyle w:val="FootnoteReference"/>
                <w:sz w:val="18"/>
                <w:szCs w:val="18"/>
              </w:rPr>
              <w:footnoteReference w:id="109"/>
            </w:r>
            <w:r w:rsidRPr="008043D1">
              <w:rPr>
                <w:sz w:val="18"/>
                <w:szCs w:val="18"/>
              </w:rPr>
              <w:t xml:space="preserve">. </w:t>
            </w:r>
          </w:p>
        </w:tc>
        <w:tc>
          <w:tcPr>
            <w:tcW w:w="1099" w:type="pct"/>
          </w:tcPr>
          <w:p w14:paraId="794E4DCB" w14:textId="49AE11D5"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8043D1">
              <w:rPr>
                <w:sz w:val="18"/>
                <w:szCs w:val="18"/>
              </w:rPr>
              <w:t>Multiple lessons on policy development and stakeholder engagement to promote the green finance agenda were internalized in the design of this Readiness project proposal. The PAGE that pioneered the green agenda at the national level with its activities allowed to establish government buy-in and ownership for green agenda and demonstrated high political will to advance the low-carbon sustainable development. The assessment of the green market capacity in Kyrgyzstan provided evidence on existing demand for green financial products in the market.</w:t>
            </w:r>
          </w:p>
        </w:tc>
      </w:tr>
      <w:tr w:rsidR="007974F9" w:rsidRPr="008043D1" w14:paraId="37FE267D" w14:textId="77777777" w:rsidTr="002712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2" w:type="pct"/>
          </w:tcPr>
          <w:p w14:paraId="5B753715" w14:textId="537B37FB" w:rsidR="007974F9" w:rsidRPr="008043D1" w:rsidRDefault="007974F9" w:rsidP="0027129E">
            <w:pPr>
              <w:spacing w:after="120"/>
              <w:jc w:val="both"/>
              <w:rPr>
                <w:b w:val="0"/>
                <w:bCs w:val="0"/>
                <w:sz w:val="18"/>
                <w:szCs w:val="18"/>
              </w:rPr>
            </w:pPr>
            <w:r w:rsidRPr="008043D1">
              <w:rPr>
                <w:sz w:val="18"/>
                <w:szCs w:val="18"/>
              </w:rPr>
              <w:t>Support the State Development Bank to serve as Green Finance Facility</w:t>
            </w:r>
            <w:r w:rsidRPr="008043D1">
              <w:rPr>
                <w:b w:val="0"/>
                <w:bCs w:val="0"/>
                <w:sz w:val="18"/>
                <w:szCs w:val="18"/>
              </w:rPr>
              <w:br/>
            </w:r>
            <w:r w:rsidRPr="008043D1">
              <w:rPr>
                <w:b w:val="0"/>
                <w:bCs w:val="0"/>
                <w:sz w:val="18"/>
                <w:szCs w:val="18"/>
              </w:rPr>
              <w:br/>
              <w:t>2024</w:t>
            </w:r>
            <w:r w:rsidRPr="008043D1">
              <w:rPr>
                <w:b w:val="0"/>
                <w:bCs w:val="0"/>
                <w:sz w:val="18"/>
                <w:szCs w:val="18"/>
              </w:rPr>
              <w:br/>
            </w:r>
            <w:r w:rsidRPr="008043D1">
              <w:rPr>
                <w:b w:val="0"/>
                <w:bCs w:val="0"/>
                <w:sz w:val="18"/>
                <w:szCs w:val="18"/>
              </w:rPr>
              <w:br/>
              <w:t>Total budget: USD 0.02 million</w:t>
            </w:r>
            <w:r w:rsidRPr="008043D1">
              <w:rPr>
                <w:b w:val="0"/>
                <w:bCs w:val="0"/>
                <w:sz w:val="18"/>
                <w:szCs w:val="18"/>
              </w:rPr>
              <w:br/>
            </w:r>
            <w:r w:rsidRPr="008043D1">
              <w:rPr>
                <w:b w:val="0"/>
                <w:bCs w:val="0"/>
                <w:sz w:val="18"/>
                <w:szCs w:val="18"/>
              </w:rPr>
              <w:br/>
              <w:t>IP: UNDP</w:t>
            </w:r>
          </w:p>
        </w:tc>
        <w:tc>
          <w:tcPr>
            <w:tcW w:w="1323" w:type="pct"/>
          </w:tcPr>
          <w:p w14:paraId="3ACF0EA0" w14:textId="4257A355" w:rsidR="007974F9" w:rsidRPr="008043D1" w:rsidRDefault="007974F9"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rPr>
            </w:pPr>
            <w:r w:rsidRPr="008043D1">
              <w:rPr>
                <w:sz w:val="18"/>
                <w:szCs w:val="18"/>
              </w:rPr>
              <w:t>Technical assistance (TA) to launching a green financing mechanism developing and strengthening SDB’s internal regulatory framework</w:t>
            </w:r>
            <w:r w:rsidRPr="008043D1">
              <w:rPr>
                <w:rStyle w:val="FootnoteReference"/>
                <w:sz w:val="18"/>
                <w:szCs w:val="18"/>
              </w:rPr>
              <w:footnoteReference w:id="110"/>
            </w:r>
            <w:r w:rsidRPr="008043D1">
              <w:rPr>
                <w:sz w:val="18"/>
                <w:szCs w:val="18"/>
              </w:rPr>
              <w:t>.</w:t>
            </w:r>
          </w:p>
        </w:tc>
        <w:tc>
          <w:tcPr>
            <w:tcW w:w="1386" w:type="pct"/>
          </w:tcPr>
          <w:p w14:paraId="3470DC7A" w14:textId="0B89D907" w:rsidR="007974F9" w:rsidRPr="008043D1" w:rsidRDefault="007974F9"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8043D1">
              <w:rPr>
                <w:sz w:val="18"/>
                <w:szCs w:val="18"/>
              </w:rPr>
              <w:t>Under this TA, UNDP supported SDB in developing its own taxonomy of green projects to ensure transparency and standardization in this area. In addition, SDB was supported in developing operational procedures for evaluating green projects.</w:t>
            </w:r>
          </w:p>
        </w:tc>
        <w:tc>
          <w:tcPr>
            <w:tcW w:w="1099" w:type="pct"/>
          </w:tcPr>
          <w:p w14:paraId="68C711AE" w14:textId="770B8378" w:rsidR="007974F9" w:rsidRPr="008043D1" w:rsidRDefault="007974F9" w:rsidP="0027129E">
            <w:pPr>
              <w:spacing w:after="120"/>
              <w:jc w:val="both"/>
              <w:cnfStyle w:val="000000100000" w:firstRow="0" w:lastRow="0" w:firstColumn="0" w:lastColumn="0" w:oddVBand="0" w:evenVBand="0" w:oddHBand="1" w:evenHBand="0" w:firstRowFirstColumn="0" w:firstRowLastColumn="0" w:lastRowFirstColumn="0" w:lastRowLastColumn="0"/>
              <w:rPr>
                <w:b/>
                <w:bCs/>
                <w:sz w:val="18"/>
                <w:szCs w:val="18"/>
                <w:highlight w:val="yellow"/>
              </w:rPr>
            </w:pPr>
            <w:r w:rsidRPr="008043D1">
              <w:rPr>
                <w:sz w:val="18"/>
                <w:szCs w:val="18"/>
              </w:rPr>
              <w:t>No implementational challenges identified. State Development Bank has proved to evolve into an important market player with a strong credit of trust and prospects to create a good foundation for its operations and take a unique niche in the green agenda ecosystem. SDB and other relevant stakeholders demonstrated high level of engagement.</w:t>
            </w:r>
          </w:p>
        </w:tc>
      </w:tr>
      <w:tr w:rsidR="007974F9" w:rsidRPr="008043D1" w14:paraId="60188299" w14:textId="77777777" w:rsidTr="0027129E">
        <w:trPr>
          <w:trHeight w:val="300"/>
        </w:trPr>
        <w:tc>
          <w:tcPr>
            <w:cnfStyle w:val="001000000000" w:firstRow="0" w:lastRow="0" w:firstColumn="1" w:lastColumn="0" w:oddVBand="0" w:evenVBand="0" w:oddHBand="0" w:evenHBand="0" w:firstRowFirstColumn="0" w:firstRowLastColumn="0" w:lastRowFirstColumn="0" w:lastRowLastColumn="0"/>
            <w:tcW w:w="1192" w:type="pct"/>
          </w:tcPr>
          <w:p w14:paraId="2EB2F5A4" w14:textId="2D1C27EB" w:rsidR="007974F9" w:rsidRPr="008043D1" w:rsidRDefault="007974F9" w:rsidP="0027129E">
            <w:pPr>
              <w:spacing w:after="120"/>
              <w:jc w:val="both"/>
              <w:rPr>
                <w:rFonts w:asciiTheme="majorHAnsi" w:hAnsiTheme="majorHAnsi" w:cstheme="majorHAnsi"/>
                <w:sz w:val="18"/>
                <w:szCs w:val="18"/>
              </w:rPr>
            </w:pPr>
            <w:bookmarkStart w:id="4" w:name="_Hlk184314062"/>
            <w:r w:rsidRPr="008043D1">
              <w:rPr>
                <w:rFonts w:asciiTheme="majorHAnsi" w:hAnsiTheme="majorHAnsi" w:cstheme="majorHAnsi"/>
                <w:sz w:val="18"/>
                <w:szCs w:val="18"/>
              </w:rPr>
              <w:lastRenderedPageBreak/>
              <w:t>USAID Kyrgyz Republic Green Solutions Activity</w:t>
            </w:r>
            <w:bookmarkEnd w:id="4"/>
            <w:r w:rsidRPr="008043D1">
              <w:rPr>
                <w:rStyle w:val="FootnoteReference"/>
                <w:rFonts w:asciiTheme="majorHAnsi" w:hAnsiTheme="majorHAnsi" w:cstheme="majorHAnsi"/>
                <w:b w:val="0"/>
                <w:bCs w:val="0"/>
                <w:sz w:val="18"/>
                <w:szCs w:val="18"/>
              </w:rPr>
              <w:footnoteReference w:id="111"/>
            </w:r>
          </w:p>
          <w:p w14:paraId="5127385F" w14:textId="77777777" w:rsidR="007974F9" w:rsidRPr="008043D1" w:rsidRDefault="007974F9" w:rsidP="0027129E">
            <w:pPr>
              <w:spacing w:after="120"/>
              <w:jc w:val="both"/>
              <w:rPr>
                <w:rFonts w:asciiTheme="majorHAnsi" w:hAnsiTheme="majorHAnsi" w:cstheme="majorHAnsi"/>
                <w:b w:val="0"/>
                <w:bCs w:val="0"/>
                <w:sz w:val="18"/>
                <w:szCs w:val="18"/>
              </w:rPr>
            </w:pPr>
            <w:r w:rsidRPr="008043D1">
              <w:rPr>
                <w:rFonts w:asciiTheme="majorHAnsi" w:hAnsiTheme="majorHAnsi" w:cstheme="majorHAnsi"/>
                <w:b w:val="0"/>
                <w:bCs w:val="0"/>
                <w:sz w:val="18"/>
                <w:szCs w:val="18"/>
              </w:rPr>
              <w:t>September 2024-August 2029 (5 years)</w:t>
            </w:r>
          </w:p>
          <w:p w14:paraId="149FD476" w14:textId="592B4B7E" w:rsidR="007974F9" w:rsidRPr="008043D1" w:rsidRDefault="007974F9" w:rsidP="0027129E">
            <w:pPr>
              <w:spacing w:after="120"/>
              <w:jc w:val="both"/>
              <w:rPr>
                <w:rFonts w:asciiTheme="majorHAnsi" w:hAnsiTheme="majorHAnsi" w:cstheme="majorHAnsi"/>
                <w:sz w:val="18"/>
                <w:szCs w:val="18"/>
              </w:rPr>
            </w:pPr>
            <w:r w:rsidRPr="008043D1">
              <w:rPr>
                <w:rFonts w:asciiTheme="majorHAnsi" w:hAnsiTheme="majorHAnsi" w:cstheme="majorHAnsi"/>
                <w:b w:val="0"/>
                <w:bCs w:val="0"/>
                <w:sz w:val="18"/>
                <w:szCs w:val="18"/>
              </w:rPr>
              <w:t>Total budget: USD 24 million</w:t>
            </w:r>
          </w:p>
        </w:tc>
        <w:tc>
          <w:tcPr>
            <w:tcW w:w="1323" w:type="pct"/>
          </w:tcPr>
          <w:p w14:paraId="1BE1F5CF" w14:textId="3F0B0DEB"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The Activity will provide TA and administer grants to promote economic development, generate new jobs, promote innovative technologies and contribute to a circular economy. The scope includes:</w:t>
            </w:r>
          </w:p>
          <w:p w14:paraId="51FAEDD2" w14:textId="342D3C2A"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 xml:space="preserve">Building the national capacity to adapt to and mitigate the effects of climate change. </w:t>
            </w:r>
          </w:p>
          <w:p w14:paraId="7ACC3D34" w14:textId="6F4E87A3"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Contribute to resource</w:t>
            </w:r>
            <w:r w:rsidRPr="008043D1">
              <w:rPr>
                <w:rFonts w:ascii="Cambria Math" w:hAnsi="Cambria Math" w:cs="Cambria Math"/>
                <w:sz w:val="18"/>
                <w:szCs w:val="18"/>
              </w:rPr>
              <w:t>‐</w:t>
            </w:r>
            <w:r w:rsidRPr="008043D1">
              <w:rPr>
                <w:rFonts w:asciiTheme="majorHAnsi" w:hAnsiTheme="majorHAnsi" w:cstheme="majorHAnsi"/>
                <w:sz w:val="18"/>
                <w:szCs w:val="18"/>
              </w:rPr>
              <w:t>efficient economic development and create socially inclusive jobs.</w:t>
            </w:r>
          </w:p>
          <w:p w14:paraId="52A6631F" w14:textId="2337D703"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rStyle w:val="Hyperlink"/>
                <w:rFonts w:asciiTheme="majorHAnsi" w:hAnsiTheme="majorHAnsi" w:cstheme="majorHAnsi"/>
                <w:color w:val="auto"/>
                <w:sz w:val="18"/>
                <w:szCs w:val="18"/>
                <w:u w:val="none"/>
              </w:rPr>
            </w:pPr>
            <w:r w:rsidRPr="008043D1">
              <w:rPr>
                <w:rFonts w:asciiTheme="majorHAnsi" w:hAnsiTheme="majorHAnsi" w:cstheme="majorHAnsi"/>
                <w:sz w:val="18"/>
                <w:szCs w:val="18"/>
              </w:rPr>
              <w:t>Promote practices that contribute to a robust and resilient economy, GHG emissions, increase climate financing, and develop a policy framework to catalyze sustainable and green climate solutions.</w:t>
            </w:r>
          </w:p>
        </w:tc>
        <w:tc>
          <w:tcPr>
            <w:tcW w:w="1386" w:type="pct"/>
          </w:tcPr>
          <w:p w14:paraId="54357533" w14:textId="26E41B32"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The project promises high level of synergies with the proposed Readiness project in achieving the objectives on (i) improving policies and regulations for sustainable practices and (ii) collaboration with financial institutions to expand green financial products. Lessons learnt from the Readiness project, especially on piloting sectoral financial products/programs can be internalized and scaled-up under the USAID project.</w:t>
            </w:r>
          </w:p>
        </w:tc>
        <w:tc>
          <w:tcPr>
            <w:tcW w:w="1099" w:type="pct"/>
          </w:tcPr>
          <w:p w14:paraId="21DE16AC" w14:textId="36322E5A" w:rsidR="007974F9" w:rsidRPr="008043D1" w:rsidRDefault="007974F9"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t>n/a</w:t>
            </w:r>
          </w:p>
        </w:tc>
      </w:tr>
      <w:tr w:rsidR="007974F9" w:rsidRPr="008043D1" w14:paraId="0BCA3B85" w14:textId="77777777" w:rsidTr="002712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2" w:type="pct"/>
          </w:tcPr>
          <w:p w14:paraId="3ACFFB1C" w14:textId="77777777" w:rsidR="007974F9" w:rsidRPr="008043D1" w:rsidRDefault="007974F9" w:rsidP="0027129E">
            <w:pPr>
              <w:jc w:val="both"/>
              <w:rPr>
                <w:b w:val="0"/>
                <w:bCs w:val="0"/>
                <w:sz w:val="18"/>
                <w:szCs w:val="18"/>
              </w:rPr>
            </w:pPr>
            <w:r w:rsidRPr="008043D1">
              <w:rPr>
                <w:sz w:val="18"/>
                <w:szCs w:val="18"/>
              </w:rPr>
              <w:t>Technical Assistance to Climate Finance Center capacity building</w:t>
            </w:r>
            <w:r w:rsidRPr="008043D1">
              <w:rPr>
                <w:sz w:val="18"/>
                <w:szCs w:val="18"/>
              </w:rPr>
              <w:br/>
            </w:r>
          </w:p>
          <w:p w14:paraId="637D5C0B" w14:textId="77777777" w:rsidR="007974F9" w:rsidRPr="008043D1" w:rsidRDefault="007974F9" w:rsidP="0027129E">
            <w:pPr>
              <w:spacing w:after="120"/>
              <w:jc w:val="both"/>
              <w:rPr>
                <w:rFonts w:asciiTheme="majorHAnsi" w:hAnsiTheme="majorHAnsi" w:cstheme="majorHAnsi"/>
                <w:b w:val="0"/>
                <w:bCs w:val="0"/>
                <w:sz w:val="18"/>
                <w:szCs w:val="18"/>
              </w:rPr>
            </w:pPr>
            <w:r w:rsidRPr="008043D1">
              <w:rPr>
                <w:rFonts w:asciiTheme="majorHAnsi" w:hAnsiTheme="majorHAnsi" w:cstheme="majorHAnsi"/>
                <w:b w:val="0"/>
                <w:bCs w:val="0"/>
                <w:sz w:val="18"/>
                <w:szCs w:val="18"/>
              </w:rPr>
              <w:t>Total budget: n/a</w:t>
            </w:r>
          </w:p>
          <w:p w14:paraId="65C0D59C" w14:textId="77777777" w:rsidR="007974F9" w:rsidRPr="008043D1" w:rsidRDefault="007974F9" w:rsidP="0027129E">
            <w:pPr>
              <w:spacing w:after="120"/>
              <w:jc w:val="both"/>
              <w:rPr>
                <w:rFonts w:asciiTheme="majorHAnsi" w:hAnsiTheme="majorHAnsi" w:cstheme="majorHAnsi"/>
                <w:b w:val="0"/>
                <w:bCs w:val="0"/>
                <w:sz w:val="18"/>
                <w:szCs w:val="18"/>
              </w:rPr>
            </w:pPr>
            <w:r w:rsidRPr="008043D1">
              <w:rPr>
                <w:rFonts w:asciiTheme="majorHAnsi" w:hAnsiTheme="majorHAnsi" w:cstheme="majorHAnsi"/>
                <w:b w:val="0"/>
                <w:bCs w:val="0"/>
                <w:sz w:val="18"/>
                <w:szCs w:val="18"/>
              </w:rPr>
              <w:t>Duration: 2025</w:t>
            </w:r>
          </w:p>
          <w:p w14:paraId="1DED84B9" w14:textId="268D2719" w:rsidR="007974F9" w:rsidRPr="008043D1" w:rsidRDefault="007974F9" w:rsidP="0027129E">
            <w:pPr>
              <w:jc w:val="both"/>
              <w:rPr>
                <w:sz w:val="18"/>
                <w:szCs w:val="18"/>
              </w:rPr>
            </w:pPr>
            <w:r w:rsidRPr="008043D1">
              <w:rPr>
                <w:b w:val="0"/>
                <w:bCs w:val="0"/>
                <w:sz w:val="18"/>
                <w:szCs w:val="18"/>
              </w:rPr>
              <w:t>IP: Asian Development Bank</w:t>
            </w:r>
          </w:p>
        </w:tc>
        <w:tc>
          <w:tcPr>
            <w:tcW w:w="1323" w:type="pct"/>
          </w:tcPr>
          <w:p w14:paraId="3C096E2C" w14:textId="17A7AFD5" w:rsidR="007974F9" w:rsidRPr="008043D1" w:rsidRDefault="007974F9" w:rsidP="0027129E">
            <w:pPr>
              <w:spacing w:after="120"/>
              <w:jc w:val="both"/>
              <w:cnfStyle w:val="000000100000" w:firstRow="0" w:lastRow="0" w:firstColumn="0" w:lastColumn="0" w:oddVBand="0" w:evenVBand="0" w:oddHBand="1" w:evenHBand="0" w:firstRowFirstColumn="0" w:firstRowLastColumn="0" w:lastRowFirstColumn="0" w:lastRowLastColumn="0"/>
              <w:rPr>
                <w:rStyle w:val="Hyperlink"/>
                <w:sz w:val="18"/>
                <w:szCs w:val="18"/>
                <w:highlight w:val="yellow"/>
              </w:rPr>
            </w:pPr>
            <w:r w:rsidRPr="008043D1">
              <w:rPr>
                <w:rFonts w:asciiTheme="majorHAnsi" w:hAnsiTheme="majorHAnsi" w:cstheme="majorHAnsi"/>
                <w:sz w:val="18"/>
                <w:szCs w:val="18"/>
              </w:rPr>
              <w:t>ADB is currently structuring its TA to CFC to capacitate the institution. Key areas preliminarily include organization’s mandate support, assistance in project concept development, and developing relationships with funding structures. Possible results include bankable opportunities developed and presented to the development partners, a climate roadshow for strengthening the dialogue between national and international development partners.</w:t>
            </w:r>
          </w:p>
        </w:tc>
        <w:tc>
          <w:tcPr>
            <w:tcW w:w="1386" w:type="pct"/>
          </w:tcPr>
          <w:p w14:paraId="50D453F7" w14:textId="5E4EEA28" w:rsidR="007974F9" w:rsidRPr="008043D1" w:rsidRDefault="007974F9" w:rsidP="0027129E">
            <w:pPr>
              <w:spacing w:after="12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For the proposed Readiness project, the ADB’s TA might offer significant strategies by joining efforts in capacitation of CFC, which is one of the key stakeholders in the proposed project. ADB will present the results of TA structuring at the end of Q3 and the collaboration on CFC capacitation will be further detailed. ADB’s mission particularly noted that the proposed interventions under the Readiness project is a unique opportunity to advance a partnership ecosystem for the green finance.</w:t>
            </w:r>
          </w:p>
        </w:tc>
        <w:tc>
          <w:tcPr>
            <w:tcW w:w="1099" w:type="pct"/>
          </w:tcPr>
          <w:p w14:paraId="7CA61D98" w14:textId="2FB0101E" w:rsidR="007974F9" w:rsidRPr="008043D1" w:rsidRDefault="007974F9" w:rsidP="0027129E">
            <w:pPr>
              <w:spacing w:after="12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n/a</w:t>
            </w:r>
          </w:p>
        </w:tc>
      </w:tr>
      <w:tr w:rsidR="00AB785B" w:rsidRPr="008043D1" w14:paraId="1113007C" w14:textId="77777777" w:rsidTr="0027129E">
        <w:trPr>
          <w:trHeight w:val="300"/>
        </w:trPr>
        <w:tc>
          <w:tcPr>
            <w:cnfStyle w:val="001000000000" w:firstRow="0" w:lastRow="0" w:firstColumn="1" w:lastColumn="0" w:oddVBand="0" w:evenVBand="0" w:oddHBand="0" w:evenHBand="0" w:firstRowFirstColumn="0" w:firstRowLastColumn="0" w:lastRowFirstColumn="0" w:lastRowLastColumn="0"/>
            <w:tcW w:w="1192" w:type="pct"/>
          </w:tcPr>
          <w:p w14:paraId="70B036FC" w14:textId="6469B951" w:rsidR="00AB785B" w:rsidRPr="008043D1" w:rsidRDefault="006763C6" w:rsidP="0027129E">
            <w:pPr>
              <w:jc w:val="both"/>
              <w:rPr>
                <w:b w:val="0"/>
                <w:bCs w:val="0"/>
                <w:sz w:val="18"/>
                <w:szCs w:val="18"/>
              </w:rPr>
            </w:pPr>
            <w:r w:rsidRPr="008043D1">
              <w:rPr>
                <w:sz w:val="18"/>
                <w:szCs w:val="18"/>
              </w:rPr>
              <w:t>EBRD</w:t>
            </w:r>
            <w:r w:rsidR="00AB785B" w:rsidRPr="008043D1">
              <w:rPr>
                <w:sz w:val="18"/>
                <w:szCs w:val="18"/>
              </w:rPr>
              <w:t xml:space="preserve"> </w:t>
            </w:r>
            <w:r w:rsidR="001A79C9" w:rsidRPr="008043D1">
              <w:rPr>
                <w:sz w:val="18"/>
                <w:szCs w:val="18"/>
              </w:rPr>
              <w:t>Kyrgyzstan Sustainable Energy Financing Facility (</w:t>
            </w:r>
            <w:proofErr w:type="spellStart"/>
            <w:r w:rsidR="001A79C9" w:rsidRPr="008043D1">
              <w:rPr>
                <w:sz w:val="18"/>
                <w:szCs w:val="18"/>
              </w:rPr>
              <w:t>KyrSEFF</w:t>
            </w:r>
            <w:proofErr w:type="spellEnd"/>
            <w:r w:rsidR="001A79C9" w:rsidRPr="008043D1">
              <w:rPr>
                <w:sz w:val="18"/>
                <w:szCs w:val="18"/>
              </w:rPr>
              <w:t>)</w:t>
            </w:r>
            <w:r w:rsidR="00E50A7C" w:rsidRPr="008043D1">
              <w:rPr>
                <w:sz w:val="18"/>
                <w:szCs w:val="18"/>
              </w:rPr>
              <w:t xml:space="preserve"> III phase</w:t>
            </w:r>
          </w:p>
          <w:p w14:paraId="5FFEA8EE" w14:textId="77777777" w:rsidR="001A79C9" w:rsidRPr="008043D1" w:rsidRDefault="001A79C9" w:rsidP="0027129E">
            <w:pPr>
              <w:jc w:val="both"/>
              <w:rPr>
                <w:b w:val="0"/>
                <w:bCs w:val="0"/>
                <w:sz w:val="18"/>
                <w:szCs w:val="18"/>
              </w:rPr>
            </w:pPr>
          </w:p>
          <w:p w14:paraId="14453C84" w14:textId="77777777" w:rsidR="001A79C9" w:rsidRPr="008043D1" w:rsidRDefault="001A79C9" w:rsidP="0027129E">
            <w:pPr>
              <w:jc w:val="both"/>
              <w:rPr>
                <w:sz w:val="18"/>
                <w:szCs w:val="18"/>
              </w:rPr>
            </w:pPr>
            <w:r w:rsidRPr="008043D1">
              <w:rPr>
                <w:b w:val="0"/>
                <w:bCs w:val="0"/>
                <w:sz w:val="18"/>
                <w:szCs w:val="18"/>
              </w:rPr>
              <w:t>Total budget</w:t>
            </w:r>
            <w:r w:rsidRPr="008043D1">
              <w:rPr>
                <w:sz w:val="18"/>
                <w:szCs w:val="18"/>
              </w:rPr>
              <w:t xml:space="preserve">: </w:t>
            </w:r>
            <w:r w:rsidRPr="008043D1">
              <w:rPr>
                <w:b w:val="0"/>
                <w:bCs w:val="0"/>
                <w:sz w:val="18"/>
                <w:szCs w:val="18"/>
              </w:rPr>
              <w:t>50 million Euro</w:t>
            </w:r>
          </w:p>
          <w:p w14:paraId="1752106A" w14:textId="77777777" w:rsidR="001A79C9" w:rsidRPr="008043D1" w:rsidRDefault="001A79C9" w:rsidP="0027129E">
            <w:pPr>
              <w:jc w:val="both"/>
              <w:rPr>
                <w:sz w:val="18"/>
                <w:szCs w:val="18"/>
              </w:rPr>
            </w:pPr>
          </w:p>
          <w:p w14:paraId="07FD1C01" w14:textId="77777777" w:rsidR="001A79C9" w:rsidRPr="008043D1" w:rsidRDefault="001A79C9" w:rsidP="0027129E">
            <w:pPr>
              <w:jc w:val="both"/>
              <w:rPr>
                <w:sz w:val="18"/>
                <w:szCs w:val="18"/>
              </w:rPr>
            </w:pPr>
            <w:r w:rsidRPr="008043D1">
              <w:rPr>
                <w:b w:val="0"/>
                <w:bCs w:val="0"/>
                <w:sz w:val="18"/>
                <w:szCs w:val="18"/>
              </w:rPr>
              <w:lastRenderedPageBreak/>
              <w:t xml:space="preserve">Duration: </w:t>
            </w:r>
          </w:p>
          <w:p w14:paraId="604F2570" w14:textId="77777777" w:rsidR="001A79C9" w:rsidRPr="008043D1" w:rsidRDefault="001A79C9" w:rsidP="0027129E">
            <w:pPr>
              <w:jc w:val="both"/>
              <w:rPr>
                <w:sz w:val="18"/>
                <w:szCs w:val="18"/>
              </w:rPr>
            </w:pPr>
          </w:p>
          <w:p w14:paraId="17B42A81" w14:textId="615401D0" w:rsidR="001A79C9" w:rsidRPr="008043D1" w:rsidRDefault="001A79C9" w:rsidP="0027129E">
            <w:pPr>
              <w:jc w:val="both"/>
              <w:rPr>
                <w:b w:val="0"/>
                <w:bCs w:val="0"/>
                <w:sz w:val="18"/>
                <w:szCs w:val="18"/>
              </w:rPr>
            </w:pPr>
            <w:r w:rsidRPr="008043D1">
              <w:rPr>
                <w:b w:val="0"/>
                <w:bCs w:val="0"/>
                <w:sz w:val="18"/>
                <w:szCs w:val="18"/>
              </w:rPr>
              <w:t>IP</w:t>
            </w:r>
            <w:r w:rsidRPr="008043D1">
              <w:rPr>
                <w:sz w:val="18"/>
                <w:szCs w:val="18"/>
              </w:rPr>
              <w:t xml:space="preserve">: </w:t>
            </w:r>
            <w:r w:rsidRPr="008043D1">
              <w:rPr>
                <w:b w:val="0"/>
                <w:bCs w:val="0"/>
                <w:sz w:val="18"/>
                <w:szCs w:val="18"/>
              </w:rPr>
              <w:t>European Bank for Reconstruction and Development</w:t>
            </w:r>
          </w:p>
        </w:tc>
        <w:tc>
          <w:tcPr>
            <w:tcW w:w="1323" w:type="pct"/>
          </w:tcPr>
          <w:p w14:paraId="75CF5F77" w14:textId="1A2EBA9B" w:rsidR="00AB785B" w:rsidRPr="008043D1" w:rsidRDefault="001F0581"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8043D1">
              <w:rPr>
                <w:rFonts w:asciiTheme="majorHAnsi" w:hAnsiTheme="majorHAnsi" w:cstheme="majorHAnsi"/>
                <w:sz w:val="18"/>
                <w:szCs w:val="18"/>
              </w:rPr>
              <w:lastRenderedPageBreak/>
              <w:t>The Kyrgyzstan Sustainable Energy Financing Facility (</w:t>
            </w:r>
            <w:proofErr w:type="spellStart"/>
            <w:r w:rsidRPr="008043D1">
              <w:rPr>
                <w:rFonts w:asciiTheme="majorHAnsi" w:hAnsiTheme="majorHAnsi" w:cstheme="majorHAnsi"/>
                <w:sz w:val="18"/>
                <w:szCs w:val="18"/>
              </w:rPr>
              <w:t>KyrSEFF</w:t>
            </w:r>
            <w:proofErr w:type="spellEnd"/>
            <w:r w:rsidRPr="008043D1">
              <w:rPr>
                <w:rFonts w:asciiTheme="majorHAnsi" w:hAnsiTheme="majorHAnsi" w:cstheme="majorHAnsi"/>
                <w:sz w:val="18"/>
                <w:szCs w:val="18"/>
              </w:rPr>
              <w:t>) has entered its third phase, launched in early 2024. This phase aims to introduce inclusive financial products that support climate resilience,</w:t>
            </w:r>
            <w:r w:rsidRPr="008043D1">
              <w:rPr>
                <w:sz w:val="18"/>
                <w:szCs w:val="18"/>
              </w:rPr>
              <w:t xml:space="preserve"> environmental sustainability, and efficient </w:t>
            </w:r>
            <w:r w:rsidRPr="008043D1">
              <w:rPr>
                <w:sz w:val="18"/>
                <w:szCs w:val="18"/>
              </w:rPr>
              <w:lastRenderedPageBreak/>
              <w:t>resource use. With a funding portfolio of $50 million, the program collaborates with local financial institutions to provide loans and grants to households and businesses for energy efficiency and renewable energy projects. Expected outcomes include reduced greenhouse gas emissions, enhanced energy security, and strengthened institutional capacities for sustainable energy investments.</w:t>
            </w:r>
          </w:p>
        </w:tc>
        <w:tc>
          <w:tcPr>
            <w:tcW w:w="1386" w:type="pct"/>
          </w:tcPr>
          <w:p w14:paraId="2F8E58CF" w14:textId="35EDB18F" w:rsidR="00AB785B" w:rsidRPr="008043D1" w:rsidRDefault="00E61ADC" w:rsidP="0027129E">
            <w:pPr>
              <w:tabs>
                <w:tab w:val="center" w:pos="882"/>
              </w:tabs>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sz w:val="18"/>
                <w:szCs w:val="18"/>
              </w:rPr>
              <w:lastRenderedPageBreak/>
              <w:t xml:space="preserve">During its previous phases the project has </w:t>
            </w:r>
            <w:r w:rsidR="004B233F" w:rsidRPr="008043D1">
              <w:rPr>
                <w:sz w:val="18"/>
                <w:szCs w:val="18"/>
              </w:rPr>
              <w:t>established</w:t>
            </w:r>
            <w:r w:rsidRPr="008043D1">
              <w:rPr>
                <w:sz w:val="18"/>
                <w:szCs w:val="18"/>
              </w:rPr>
              <w:t xml:space="preserve"> a decent technical support </w:t>
            </w:r>
            <w:r w:rsidR="0021723C" w:rsidRPr="008043D1">
              <w:rPr>
                <w:sz w:val="18"/>
                <w:szCs w:val="18"/>
              </w:rPr>
              <w:t xml:space="preserve">unit for the potential beneficiaries. The proposed project may build on that experience when operationalizing </w:t>
            </w:r>
            <w:r w:rsidR="004B233F" w:rsidRPr="008043D1">
              <w:rPr>
                <w:sz w:val="18"/>
                <w:szCs w:val="18"/>
              </w:rPr>
              <w:t xml:space="preserve">green taxonomy and </w:t>
            </w:r>
            <w:r w:rsidR="004B233F" w:rsidRPr="008043D1">
              <w:rPr>
                <w:sz w:val="18"/>
                <w:szCs w:val="18"/>
              </w:rPr>
              <w:lastRenderedPageBreak/>
              <w:t xml:space="preserve">development of green finance products in </w:t>
            </w:r>
            <w:r w:rsidR="001F3157" w:rsidRPr="008043D1">
              <w:rPr>
                <w:sz w:val="18"/>
                <w:szCs w:val="18"/>
              </w:rPr>
              <w:t>energy efficiency sector</w:t>
            </w:r>
            <w:r w:rsidR="004B233F" w:rsidRPr="008043D1">
              <w:rPr>
                <w:sz w:val="18"/>
                <w:szCs w:val="18"/>
              </w:rPr>
              <w:t>.</w:t>
            </w:r>
          </w:p>
        </w:tc>
        <w:tc>
          <w:tcPr>
            <w:tcW w:w="1099" w:type="pct"/>
          </w:tcPr>
          <w:p w14:paraId="4459C2C8" w14:textId="77777777" w:rsidR="00AB785B" w:rsidRPr="008043D1" w:rsidRDefault="00E03D3C"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lastRenderedPageBreak/>
              <w:t>Currency fluctuations and inflation create uncertainty for borrowers, making long-term investments in energy-efficient technologies less appealing.</w:t>
            </w:r>
          </w:p>
          <w:p w14:paraId="21D1D92B" w14:textId="77777777" w:rsidR="00E03D3C" w:rsidRPr="008043D1" w:rsidRDefault="00CA0E49"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lastRenderedPageBreak/>
              <w:t>The availability of certified, high-quality energy-efficient equipment and renewable energy technologies remains inconsistent in Kyrgyzstan, slowing adoption rates.</w:t>
            </w:r>
          </w:p>
          <w:p w14:paraId="02F1CB5A" w14:textId="3E443DAE" w:rsidR="00CA0E49" w:rsidRPr="008043D1" w:rsidRDefault="00CA0E49" w:rsidP="0027129E">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sidRPr="008043D1">
              <w:rPr>
                <w:rFonts w:asciiTheme="majorHAnsi" w:hAnsiTheme="majorHAnsi" w:cstheme="majorHAnsi"/>
                <w:sz w:val="18"/>
                <w:szCs w:val="18"/>
              </w:rPr>
              <w:t>Offering tailored financial solutions, such as flexible loan terms and combined grants, meets diverse client needs and encourages adoption.</w:t>
            </w:r>
          </w:p>
        </w:tc>
      </w:tr>
      <w:tr w:rsidR="00AB785B" w:rsidRPr="008043D1" w14:paraId="0A724460" w14:textId="77777777" w:rsidTr="002712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2" w:type="pct"/>
          </w:tcPr>
          <w:p w14:paraId="30B2E5A6" w14:textId="14C237C0" w:rsidR="00AB785B" w:rsidRPr="008043D1" w:rsidRDefault="00AB785B" w:rsidP="0027129E">
            <w:pPr>
              <w:spacing w:after="120"/>
              <w:jc w:val="both"/>
              <w:rPr>
                <w:sz w:val="18"/>
                <w:szCs w:val="18"/>
              </w:rPr>
            </w:pPr>
            <w:r w:rsidRPr="008043D1">
              <w:rPr>
                <w:sz w:val="18"/>
                <w:szCs w:val="18"/>
              </w:rPr>
              <w:lastRenderedPageBreak/>
              <w:t>Water, Energy and Land-use Linkages: Nexus Approach for Climate Resilient Central Asia</w:t>
            </w:r>
            <w:r w:rsidRPr="008043D1">
              <w:rPr>
                <w:sz w:val="18"/>
                <w:szCs w:val="18"/>
              </w:rPr>
              <w:br/>
            </w:r>
            <w:r w:rsidRPr="008043D1">
              <w:rPr>
                <w:sz w:val="18"/>
                <w:szCs w:val="18"/>
              </w:rPr>
              <w:br/>
            </w:r>
            <w:r w:rsidRPr="008043D1">
              <w:rPr>
                <w:b w:val="0"/>
                <w:bCs w:val="0"/>
                <w:sz w:val="18"/>
                <w:szCs w:val="18"/>
              </w:rPr>
              <w:t>Total budget:</w:t>
            </w:r>
            <w:r w:rsidRPr="008043D1">
              <w:rPr>
                <w:sz w:val="18"/>
                <w:szCs w:val="18"/>
              </w:rPr>
              <w:t xml:space="preserve"> </w:t>
            </w:r>
            <w:r w:rsidRPr="008043D1">
              <w:rPr>
                <w:b w:val="0"/>
                <w:bCs w:val="0"/>
                <w:sz w:val="18"/>
                <w:szCs w:val="18"/>
              </w:rPr>
              <w:t>EUR 20 million</w:t>
            </w:r>
          </w:p>
          <w:p w14:paraId="3738322C" w14:textId="4DBC7FF1" w:rsidR="00AB785B" w:rsidRPr="008043D1" w:rsidRDefault="00AB785B" w:rsidP="0027129E">
            <w:pPr>
              <w:spacing w:after="120"/>
              <w:jc w:val="both"/>
              <w:rPr>
                <w:sz w:val="18"/>
                <w:szCs w:val="18"/>
              </w:rPr>
            </w:pPr>
            <w:r w:rsidRPr="008043D1">
              <w:rPr>
                <w:b w:val="0"/>
                <w:bCs w:val="0"/>
                <w:sz w:val="18"/>
                <w:szCs w:val="18"/>
              </w:rPr>
              <w:t>Provided by: Germany/ Federal Ministry for the Environment, Nature Conservation, Nuclear Safety and Consumer Protection</w:t>
            </w:r>
          </w:p>
          <w:p w14:paraId="37743BEB" w14:textId="6806D569" w:rsidR="00AB785B" w:rsidRPr="008043D1" w:rsidRDefault="00AB785B" w:rsidP="0027129E">
            <w:pPr>
              <w:spacing w:after="120"/>
              <w:jc w:val="both"/>
              <w:rPr>
                <w:sz w:val="18"/>
                <w:szCs w:val="18"/>
              </w:rPr>
            </w:pPr>
            <w:r w:rsidRPr="008043D1">
              <w:rPr>
                <w:b w:val="0"/>
                <w:bCs w:val="0"/>
                <w:sz w:val="18"/>
                <w:szCs w:val="18"/>
              </w:rPr>
              <w:t>Duration: 2024 – 2028</w:t>
            </w:r>
          </w:p>
          <w:p w14:paraId="177D4656" w14:textId="251F4FCC" w:rsidR="00AB785B" w:rsidRPr="008043D1" w:rsidRDefault="00AB785B" w:rsidP="0027129E">
            <w:pPr>
              <w:spacing w:after="120"/>
              <w:jc w:val="both"/>
              <w:rPr>
                <w:sz w:val="18"/>
                <w:szCs w:val="18"/>
              </w:rPr>
            </w:pPr>
            <w:r w:rsidRPr="008043D1">
              <w:rPr>
                <w:b w:val="0"/>
                <w:bCs w:val="0"/>
                <w:sz w:val="18"/>
                <w:szCs w:val="18"/>
              </w:rPr>
              <w:t>IP: OECD together with EBRD, FAO, SIC ICWC and UNECE</w:t>
            </w:r>
          </w:p>
          <w:p w14:paraId="4CC4291E" w14:textId="77777777" w:rsidR="00AB785B" w:rsidRPr="008043D1" w:rsidRDefault="00AB785B" w:rsidP="0027129E">
            <w:pPr>
              <w:spacing w:after="120"/>
              <w:jc w:val="both"/>
              <w:rPr>
                <w:sz w:val="18"/>
                <w:szCs w:val="18"/>
              </w:rPr>
            </w:pPr>
          </w:p>
          <w:p w14:paraId="02F1ADB0" w14:textId="1A442482" w:rsidR="00AB785B" w:rsidRPr="008043D1" w:rsidRDefault="00AB785B" w:rsidP="0027129E">
            <w:pPr>
              <w:spacing w:after="120"/>
              <w:jc w:val="both"/>
              <w:rPr>
                <w:sz w:val="18"/>
                <w:szCs w:val="18"/>
              </w:rPr>
            </w:pPr>
          </w:p>
        </w:tc>
        <w:tc>
          <w:tcPr>
            <w:tcW w:w="1323" w:type="pct"/>
          </w:tcPr>
          <w:p w14:paraId="5AB4FD72" w14:textId="292869EA" w:rsidR="00AB785B" w:rsidRPr="008043D1" w:rsidRDefault="004B506E" w:rsidP="0027129E">
            <w:pPr>
              <w:spacing w:after="12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The primary</w:t>
            </w:r>
            <w:r w:rsidR="00AB785B" w:rsidRPr="008043D1">
              <w:rPr>
                <w:rFonts w:asciiTheme="majorHAnsi" w:hAnsiTheme="majorHAnsi" w:cstheme="majorHAnsi"/>
                <w:sz w:val="18"/>
                <w:szCs w:val="18"/>
              </w:rPr>
              <w:t xml:space="preserve"> focus is to make economic business case for cooperation and design financing mechanisms to bring action plans and investment programmes to reality. </w:t>
            </w:r>
          </w:p>
          <w:p w14:paraId="0CA0EBD1" w14:textId="26980A43" w:rsidR="00AB785B" w:rsidRPr="008043D1" w:rsidRDefault="00AB785B" w:rsidP="0027129E">
            <w:pPr>
              <w:spacing w:after="12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 xml:space="preserve">Analytical work to support mainstreaming of the Nexus thinking into development processes, capacity development events and actual financing for "nexus" pilot investment projects are envisaged. For the 2024-2025 period, in coordination with other related initiatives, including those by GIZ, the project would conduct analytical work on private sector engagement in water-energy-food </w:t>
            </w:r>
            <w:r w:rsidR="00166BA7" w:rsidRPr="008043D1">
              <w:rPr>
                <w:rFonts w:asciiTheme="majorHAnsi" w:hAnsiTheme="majorHAnsi" w:cstheme="majorHAnsi"/>
                <w:sz w:val="18"/>
                <w:szCs w:val="18"/>
              </w:rPr>
              <w:t>nexus-oriented</w:t>
            </w:r>
            <w:r w:rsidRPr="008043D1">
              <w:rPr>
                <w:rFonts w:asciiTheme="majorHAnsi" w:hAnsiTheme="majorHAnsi" w:cstheme="majorHAnsi"/>
                <w:sz w:val="18"/>
                <w:szCs w:val="18"/>
              </w:rPr>
              <w:t xml:space="preserve"> projects and sustainable finance taxonomy development in the frame of Kyrgyzstan's Green Economy Programme.</w:t>
            </w:r>
          </w:p>
        </w:tc>
        <w:tc>
          <w:tcPr>
            <w:tcW w:w="1386" w:type="pct"/>
          </w:tcPr>
          <w:p w14:paraId="14837138" w14:textId="202492DE" w:rsidR="00662B2E" w:rsidRPr="008043D1" w:rsidRDefault="00662B2E"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rPr>
            </w:pPr>
            <w:r w:rsidRPr="008043D1">
              <w:rPr>
                <w:sz w:val="18"/>
                <w:szCs w:val="18"/>
              </w:rPr>
              <w:t xml:space="preserve">Potential synergy builds on </w:t>
            </w:r>
            <w:r w:rsidRPr="008043D1">
              <w:rPr>
                <w:rFonts w:asciiTheme="majorHAnsi" w:hAnsiTheme="majorHAnsi" w:cstheme="majorHAnsi"/>
                <w:sz w:val="18"/>
                <w:szCs w:val="18"/>
              </w:rPr>
              <w:t>analytical work on private sector engagement climate vulnerable sectors and sustainable finance taxonomy development in the frame of Kyrgyzstan's Green Economy Programme.</w:t>
            </w:r>
          </w:p>
        </w:tc>
        <w:tc>
          <w:tcPr>
            <w:tcW w:w="1099" w:type="pct"/>
          </w:tcPr>
          <w:p w14:paraId="119B35F9" w14:textId="3FB051DD" w:rsidR="00AB785B" w:rsidRPr="008043D1" w:rsidRDefault="00662B2E" w:rsidP="0027129E">
            <w:pPr>
              <w:spacing w:after="120"/>
              <w:jc w:val="both"/>
              <w:cnfStyle w:val="000000100000" w:firstRow="0" w:lastRow="0" w:firstColumn="0" w:lastColumn="0" w:oddVBand="0" w:evenVBand="0" w:oddHBand="1" w:evenHBand="0" w:firstRowFirstColumn="0" w:firstRowLastColumn="0" w:lastRowFirstColumn="0" w:lastRowLastColumn="0"/>
              <w:rPr>
                <w:sz w:val="18"/>
                <w:szCs w:val="18"/>
                <w:lang w:val="ru-RU"/>
              </w:rPr>
            </w:pPr>
            <w:r w:rsidRPr="008043D1">
              <w:rPr>
                <w:sz w:val="18"/>
                <w:szCs w:val="18"/>
              </w:rPr>
              <w:t>n/a</w:t>
            </w:r>
          </w:p>
        </w:tc>
      </w:tr>
      <w:tr w:rsidR="00AB785B" w:rsidRPr="008043D1" w14:paraId="69F9D71C" w14:textId="77777777" w:rsidTr="0027129E">
        <w:trPr>
          <w:trHeight w:val="300"/>
        </w:trPr>
        <w:tc>
          <w:tcPr>
            <w:cnfStyle w:val="001000000000" w:firstRow="0" w:lastRow="0" w:firstColumn="1" w:lastColumn="0" w:oddVBand="0" w:evenVBand="0" w:oddHBand="0" w:evenHBand="0" w:firstRowFirstColumn="0" w:firstRowLastColumn="0" w:lastRowFirstColumn="0" w:lastRowLastColumn="0"/>
            <w:tcW w:w="1192" w:type="pct"/>
          </w:tcPr>
          <w:p w14:paraId="53F69ED7" w14:textId="73175934" w:rsidR="00AB785B" w:rsidRPr="008043D1" w:rsidRDefault="00AB785B" w:rsidP="0027129E">
            <w:pPr>
              <w:spacing w:after="120"/>
              <w:jc w:val="both"/>
              <w:rPr>
                <w:b w:val="0"/>
                <w:bCs w:val="0"/>
                <w:sz w:val="18"/>
                <w:szCs w:val="18"/>
              </w:rPr>
            </w:pPr>
            <w:r w:rsidRPr="008043D1">
              <w:rPr>
                <w:sz w:val="18"/>
                <w:szCs w:val="18"/>
              </w:rPr>
              <w:t>Green Economy and Sustainable Private Sector Development” NaWi</w:t>
            </w:r>
          </w:p>
          <w:p w14:paraId="16BF889F" w14:textId="6666B4BD" w:rsidR="00AB785B" w:rsidRPr="008043D1" w:rsidRDefault="00AB785B" w:rsidP="0027129E">
            <w:pPr>
              <w:spacing w:after="120"/>
              <w:jc w:val="both"/>
              <w:rPr>
                <w:sz w:val="18"/>
                <w:szCs w:val="18"/>
              </w:rPr>
            </w:pPr>
            <w:r w:rsidRPr="008043D1">
              <w:rPr>
                <w:b w:val="0"/>
                <w:bCs w:val="0"/>
                <w:sz w:val="18"/>
                <w:szCs w:val="18"/>
              </w:rPr>
              <w:t>Total budget: EUR 6 million</w:t>
            </w:r>
          </w:p>
          <w:p w14:paraId="253021F7" w14:textId="334C2792" w:rsidR="00AB785B" w:rsidRPr="008043D1" w:rsidRDefault="00AB785B" w:rsidP="0027129E">
            <w:pPr>
              <w:spacing w:after="120"/>
              <w:jc w:val="both"/>
              <w:rPr>
                <w:b w:val="0"/>
                <w:bCs w:val="0"/>
                <w:sz w:val="18"/>
                <w:szCs w:val="18"/>
              </w:rPr>
            </w:pPr>
            <w:r w:rsidRPr="008043D1">
              <w:rPr>
                <w:b w:val="0"/>
                <w:bCs w:val="0"/>
                <w:sz w:val="18"/>
                <w:szCs w:val="18"/>
              </w:rPr>
              <w:t>Provided by: Germany / Federal Ministry for Development (BMZ)</w:t>
            </w:r>
          </w:p>
          <w:p w14:paraId="0A2FCF4D" w14:textId="77777777" w:rsidR="00AB785B" w:rsidRPr="008043D1" w:rsidRDefault="00AB785B" w:rsidP="0027129E">
            <w:pPr>
              <w:spacing w:after="120"/>
              <w:jc w:val="both"/>
              <w:rPr>
                <w:sz w:val="18"/>
                <w:szCs w:val="18"/>
              </w:rPr>
            </w:pPr>
            <w:r w:rsidRPr="008043D1">
              <w:rPr>
                <w:b w:val="0"/>
                <w:bCs w:val="0"/>
                <w:sz w:val="18"/>
                <w:szCs w:val="18"/>
              </w:rPr>
              <w:t>Duration: 2023-2026</w:t>
            </w:r>
          </w:p>
          <w:p w14:paraId="4992F70F" w14:textId="668CF207" w:rsidR="00AB785B" w:rsidRPr="008043D1" w:rsidRDefault="00AB785B" w:rsidP="0027129E">
            <w:pPr>
              <w:spacing w:after="120"/>
              <w:jc w:val="both"/>
              <w:rPr>
                <w:sz w:val="18"/>
                <w:szCs w:val="18"/>
              </w:rPr>
            </w:pPr>
            <w:r w:rsidRPr="008043D1">
              <w:rPr>
                <w:b w:val="0"/>
                <w:bCs w:val="0"/>
                <w:sz w:val="18"/>
                <w:szCs w:val="18"/>
              </w:rPr>
              <w:lastRenderedPageBreak/>
              <w:t>IP: GIZ</w:t>
            </w:r>
          </w:p>
        </w:tc>
        <w:tc>
          <w:tcPr>
            <w:tcW w:w="1323" w:type="pct"/>
          </w:tcPr>
          <w:p w14:paraId="04E068AF" w14:textId="77777777" w:rsidR="00AB785B" w:rsidRPr="008043D1" w:rsidRDefault="00AB785B"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lastRenderedPageBreak/>
              <w:t xml:space="preserve">The key components include: </w:t>
            </w:r>
          </w:p>
          <w:p w14:paraId="300B50F5" w14:textId="5455790A" w:rsidR="00AB785B" w:rsidRPr="008043D1" w:rsidRDefault="00AB785B"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(i) Technical and methodological support to the Ministry of Economy in the implementation of green economy policy approaches, in which the private sector also participates.</w:t>
            </w:r>
          </w:p>
          <w:p w14:paraId="3D2D8CEA" w14:textId="727F0F63" w:rsidR="00AB785B" w:rsidRPr="008043D1" w:rsidRDefault="00AB785B"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lastRenderedPageBreak/>
              <w:t>(ii) Technical advice on the use of models to assess the impact of green policy approaches.</w:t>
            </w:r>
          </w:p>
          <w:p w14:paraId="261CD09E" w14:textId="139DB5CC" w:rsidR="00AB785B" w:rsidRPr="008043D1" w:rsidRDefault="00AB785B" w:rsidP="0027129E">
            <w:pPr>
              <w:spacing w:after="12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(iii) Pilot implementation of sustainable production methods in the agriculture and tourism sector.</w:t>
            </w:r>
          </w:p>
        </w:tc>
        <w:tc>
          <w:tcPr>
            <w:tcW w:w="1386" w:type="pct"/>
          </w:tcPr>
          <w:p w14:paraId="3A7C12E4" w14:textId="11AD12A8" w:rsidR="00AB785B" w:rsidRPr="008043D1" w:rsidRDefault="00BB77AE"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lastRenderedPageBreak/>
              <w:t xml:space="preserve">The project supports policy formulation at </w:t>
            </w:r>
            <w:r w:rsidR="00086615" w:rsidRPr="008043D1">
              <w:rPr>
                <w:sz w:val="18"/>
                <w:szCs w:val="18"/>
              </w:rPr>
              <w:t xml:space="preserve">the Ministry of Economy and Commerce, which </w:t>
            </w:r>
            <w:r w:rsidR="00D13C76" w:rsidRPr="008043D1">
              <w:rPr>
                <w:sz w:val="18"/>
                <w:szCs w:val="18"/>
              </w:rPr>
              <w:t>complements the proposed project’s activities related to operationalization of green taxonomy.</w:t>
            </w:r>
            <w:r w:rsidR="00D37015" w:rsidRPr="008043D1">
              <w:rPr>
                <w:sz w:val="18"/>
                <w:szCs w:val="18"/>
              </w:rPr>
              <w:t xml:space="preserve"> Another potential synergy is around development of green finance products as the GIZ’s project</w:t>
            </w:r>
            <w:r w:rsidR="003D594A" w:rsidRPr="008043D1">
              <w:rPr>
                <w:sz w:val="18"/>
                <w:szCs w:val="18"/>
              </w:rPr>
              <w:t xml:space="preserve"> seeks to support implementation of sustainable production in several sectors.</w:t>
            </w:r>
          </w:p>
        </w:tc>
        <w:tc>
          <w:tcPr>
            <w:tcW w:w="1099" w:type="pct"/>
          </w:tcPr>
          <w:p w14:paraId="44ED9855" w14:textId="0333CDFC" w:rsidR="00AB785B" w:rsidRPr="008043D1" w:rsidRDefault="003D1918"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t>n/a</w:t>
            </w:r>
          </w:p>
        </w:tc>
      </w:tr>
      <w:tr w:rsidR="00AB785B" w:rsidRPr="008043D1" w14:paraId="56CE996E" w14:textId="77777777" w:rsidTr="002712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2" w:type="pct"/>
          </w:tcPr>
          <w:p w14:paraId="560AD9A6" w14:textId="6EE88F3A" w:rsidR="00AB785B" w:rsidRPr="008043D1" w:rsidRDefault="00AB785B" w:rsidP="0027129E">
            <w:pPr>
              <w:spacing w:after="120"/>
              <w:jc w:val="both"/>
              <w:rPr>
                <w:b w:val="0"/>
                <w:bCs w:val="0"/>
                <w:sz w:val="18"/>
                <w:szCs w:val="18"/>
              </w:rPr>
            </w:pPr>
            <w:r w:rsidRPr="008043D1">
              <w:rPr>
                <w:sz w:val="18"/>
                <w:szCs w:val="18"/>
              </w:rPr>
              <w:t>Pilot Programme for Climate Resilience (PPCR)</w:t>
            </w:r>
            <w:r w:rsidRPr="008043D1">
              <w:rPr>
                <w:sz w:val="18"/>
                <w:szCs w:val="18"/>
              </w:rPr>
              <w:br/>
            </w:r>
            <w:r w:rsidRPr="008043D1">
              <w:rPr>
                <w:sz w:val="18"/>
                <w:szCs w:val="18"/>
              </w:rPr>
              <w:br/>
            </w:r>
            <w:r w:rsidRPr="008043D1">
              <w:rPr>
                <w:b w:val="0"/>
                <w:bCs w:val="0"/>
                <w:sz w:val="18"/>
                <w:szCs w:val="18"/>
              </w:rPr>
              <w:t>Total budget: USD 1.5 million</w:t>
            </w:r>
          </w:p>
          <w:p w14:paraId="3B9294E7" w14:textId="53FD03CA" w:rsidR="00AB785B" w:rsidRPr="008043D1" w:rsidRDefault="00AB785B" w:rsidP="0027129E">
            <w:pPr>
              <w:spacing w:after="120"/>
              <w:jc w:val="both"/>
              <w:rPr>
                <w:b w:val="0"/>
                <w:bCs w:val="0"/>
                <w:sz w:val="18"/>
                <w:szCs w:val="18"/>
              </w:rPr>
            </w:pPr>
            <w:r w:rsidRPr="008043D1">
              <w:rPr>
                <w:b w:val="0"/>
                <w:bCs w:val="0"/>
                <w:sz w:val="18"/>
                <w:szCs w:val="18"/>
              </w:rPr>
              <w:t>Duration: 2016-2021 (might be extended subject to availability of funding)</w:t>
            </w:r>
            <w:r w:rsidRPr="008043D1">
              <w:rPr>
                <w:b w:val="0"/>
                <w:bCs w:val="0"/>
                <w:sz w:val="18"/>
                <w:szCs w:val="18"/>
              </w:rPr>
              <w:br/>
            </w:r>
            <w:r w:rsidRPr="008043D1">
              <w:rPr>
                <w:b w:val="0"/>
                <w:bCs w:val="0"/>
                <w:sz w:val="18"/>
                <w:szCs w:val="18"/>
              </w:rPr>
              <w:br/>
              <w:t>IP: EBRD, WB, ADB</w:t>
            </w:r>
          </w:p>
        </w:tc>
        <w:tc>
          <w:tcPr>
            <w:tcW w:w="1323" w:type="pct"/>
          </w:tcPr>
          <w:p w14:paraId="01673E89" w14:textId="4ECAE289" w:rsidR="00AB785B" w:rsidRPr="008043D1" w:rsidRDefault="00AB785B" w:rsidP="0027129E">
            <w:pPr>
              <w:spacing w:after="120"/>
              <w:jc w:val="both"/>
              <w:cnfStyle w:val="000000100000" w:firstRow="0" w:lastRow="0" w:firstColumn="0" w:lastColumn="0" w:oddVBand="0" w:evenVBand="0" w:oddHBand="1" w:evenHBand="0" w:firstRowFirstColumn="0" w:firstRowLastColumn="0" w:lastRowFirstColumn="0" w:lastRowLastColumn="0"/>
              <w:rPr>
                <w:rStyle w:val="Hyperlink"/>
                <w:sz w:val="18"/>
                <w:szCs w:val="18"/>
                <w:highlight w:val="yellow"/>
              </w:rPr>
            </w:pPr>
            <w:r w:rsidRPr="008043D1">
              <w:rPr>
                <w:sz w:val="18"/>
                <w:szCs w:val="18"/>
              </w:rPr>
              <w:t>The project results included the development of the Climate Finance Coordination Mechanism including the Climate Finance Center (CFC) and the Climate Investment Programme (CIP)</w:t>
            </w:r>
            <w:r w:rsidRPr="008043D1">
              <w:rPr>
                <w:rStyle w:val="FootnoteReference"/>
                <w:sz w:val="18"/>
                <w:szCs w:val="18"/>
              </w:rPr>
              <w:footnoteReference w:id="112"/>
            </w:r>
          </w:p>
        </w:tc>
        <w:tc>
          <w:tcPr>
            <w:tcW w:w="1386" w:type="pct"/>
          </w:tcPr>
          <w:p w14:paraId="70D6AE5C" w14:textId="248F9F98" w:rsidR="00AB785B" w:rsidRPr="008043D1" w:rsidRDefault="00AB785B" w:rsidP="0027129E">
            <w:pPr>
              <w:spacing w:after="12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The project assisted to the establishment of CFC and building institutional framework at the national level to promoted climate finance agenda. The proposed Readiness project builds upon the key outcomes of PPCR.</w:t>
            </w:r>
          </w:p>
        </w:tc>
        <w:tc>
          <w:tcPr>
            <w:tcW w:w="1099" w:type="pct"/>
          </w:tcPr>
          <w:p w14:paraId="76EC0026" w14:textId="3B8970AB" w:rsidR="00AB785B" w:rsidRPr="008043D1" w:rsidRDefault="00AB785B" w:rsidP="0027129E">
            <w:pPr>
              <w:spacing w:after="12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8043D1">
              <w:rPr>
                <w:rFonts w:asciiTheme="majorHAnsi" w:hAnsiTheme="majorHAnsi" w:cstheme="majorHAnsi"/>
                <w:sz w:val="18"/>
                <w:szCs w:val="18"/>
              </w:rPr>
              <w:t>n/a</w:t>
            </w:r>
          </w:p>
        </w:tc>
      </w:tr>
      <w:tr w:rsidR="00AB785B" w:rsidRPr="008043D1" w14:paraId="4BCC141B" w14:textId="77777777" w:rsidTr="0027129E">
        <w:trPr>
          <w:trHeight w:val="300"/>
        </w:trPr>
        <w:tc>
          <w:tcPr>
            <w:cnfStyle w:val="001000000000" w:firstRow="0" w:lastRow="0" w:firstColumn="1" w:lastColumn="0" w:oddVBand="0" w:evenVBand="0" w:oddHBand="0" w:evenHBand="0" w:firstRowFirstColumn="0" w:firstRowLastColumn="0" w:lastRowFirstColumn="0" w:lastRowLastColumn="0"/>
            <w:tcW w:w="1192" w:type="pct"/>
          </w:tcPr>
          <w:p w14:paraId="35C8CF81" w14:textId="77777777" w:rsidR="00AB785B" w:rsidRPr="008043D1" w:rsidRDefault="00AB785B" w:rsidP="0027129E">
            <w:pPr>
              <w:spacing w:after="120"/>
              <w:jc w:val="both"/>
              <w:rPr>
                <w:b w:val="0"/>
                <w:bCs w:val="0"/>
                <w:sz w:val="18"/>
                <w:szCs w:val="18"/>
              </w:rPr>
            </w:pPr>
            <w:r w:rsidRPr="008043D1">
              <w:rPr>
                <w:sz w:val="18"/>
                <w:szCs w:val="18"/>
              </w:rPr>
              <w:t>Green Financing for NDC Implementation in Kyrgyz Republic</w:t>
            </w:r>
          </w:p>
          <w:p w14:paraId="66916C76" w14:textId="77777777" w:rsidR="00AB785B" w:rsidRPr="008043D1" w:rsidRDefault="00AB785B" w:rsidP="0027129E">
            <w:pPr>
              <w:spacing w:after="120"/>
              <w:jc w:val="both"/>
              <w:rPr>
                <w:sz w:val="18"/>
                <w:szCs w:val="18"/>
              </w:rPr>
            </w:pPr>
            <w:r w:rsidRPr="008043D1">
              <w:rPr>
                <w:b w:val="0"/>
                <w:bCs w:val="0"/>
                <w:sz w:val="18"/>
                <w:szCs w:val="18"/>
              </w:rPr>
              <w:t>Total budget: USD 0.37 million</w:t>
            </w:r>
          </w:p>
          <w:p w14:paraId="6B745925" w14:textId="77777777" w:rsidR="00AB785B" w:rsidRPr="008043D1" w:rsidRDefault="00AB785B" w:rsidP="0027129E">
            <w:pPr>
              <w:spacing w:after="120"/>
              <w:jc w:val="both"/>
              <w:rPr>
                <w:sz w:val="18"/>
                <w:szCs w:val="18"/>
              </w:rPr>
            </w:pPr>
            <w:r w:rsidRPr="008043D1">
              <w:rPr>
                <w:b w:val="0"/>
                <w:bCs w:val="0"/>
                <w:sz w:val="18"/>
                <w:szCs w:val="18"/>
              </w:rPr>
              <w:t>Duration: 2023-2024</w:t>
            </w:r>
          </w:p>
          <w:p w14:paraId="46E8FF43" w14:textId="535AAE3E" w:rsidR="00AB785B" w:rsidRPr="008043D1" w:rsidRDefault="00AB785B" w:rsidP="0027129E">
            <w:pPr>
              <w:spacing w:after="120"/>
              <w:jc w:val="both"/>
              <w:rPr>
                <w:b w:val="0"/>
                <w:bCs w:val="0"/>
                <w:sz w:val="18"/>
                <w:szCs w:val="18"/>
              </w:rPr>
            </w:pPr>
            <w:r w:rsidRPr="008043D1">
              <w:rPr>
                <w:b w:val="0"/>
                <w:bCs w:val="0"/>
                <w:sz w:val="18"/>
                <w:szCs w:val="18"/>
              </w:rPr>
              <w:t>IP: World Bank</w:t>
            </w:r>
          </w:p>
        </w:tc>
        <w:tc>
          <w:tcPr>
            <w:tcW w:w="1323" w:type="pct"/>
          </w:tcPr>
          <w:p w14:paraId="739588F9" w14:textId="7274D059" w:rsidR="00AB785B" w:rsidRPr="008043D1" w:rsidRDefault="00AB785B" w:rsidP="0027129E">
            <w:pPr>
              <w:spacing w:after="120"/>
              <w:jc w:val="both"/>
              <w:cnfStyle w:val="000000000000" w:firstRow="0" w:lastRow="0" w:firstColumn="0" w:lastColumn="0" w:oddVBand="0" w:evenVBand="0" w:oddHBand="0" w:evenHBand="0" w:firstRowFirstColumn="0" w:firstRowLastColumn="0" w:lastRowFirstColumn="0" w:lastRowLastColumn="0"/>
              <w:rPr>
                <w:rStyle w:val="Hyperlink"/>
                <w:color w:val="auto"/>
                <w:sz w:val="18"/>
                <w:szCs w:val="18"/>
                <w:u w:val="none"/>
              </w:rPr>
            </w:pPr>
            <w:r w:rsidRPr="008043D1">
              <w:rPr>
                <w:sz w:val="18"/>
                <w:szCs w:val="18"/>
              </w:rPr>
              <w:t xml:space="preserve">This initiative aims at: (i) developing budget tagging guidelines to identify, track and classify green finance flows in the public sector; (ii) development of a green financing roadmap; (iii) classification system to assess ‘green’ project finance by developing a draft green taxonomy; (iv) building readiness for accessing international climate finance through a series of workshops/training strengthening MNRETS’s, MoF’s and </w:t>
            </w:r>
            <w:proofErr w:type="spellStart"/>
            <w:r w:rsidRPr="008043D1">
              <w:rPr>
                <w:sz w:val="18"/>
                <w:szCs w:val="18"/>
              </w:rPr>
              <w:t>MoEC’s</w:t>
            </w:r>
            <w:proofErr w:type="spellEnd"/>
            <w:r w:rsidRPr="008043D1">
              <w:rPr>
                <w:sz w:val="18"/>
                <w:szCs w:val="18"/>
              </w:rPr>
              <w:t xml:space="preserve"> capacity to identify different sources of funds and develop project proposals.</w:t>
            </w:r>
          </w:p>
        </w:tc>
        <w:tc>
          <w:tcPr>
            <w:tcW w:w="1386" w:type="pct"/>
          </w:tcPr>
          <w:p w14:paraId="4AB4BE47" w14:textId="755F280E" w:rsidR="00AB785B" w:rsidRPr="008043D1" w:rsidRDefault="000838CC"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rPr>
            </w:pPr>
            <w:r w:rsidRPr="008043D1">
              <w:rPr>
                <w:sz w:val="18"/>
                <w:szCs w:val="18"/>
              </w:rPr>
              <w:t>It aligns with the Green Taxonomy operationalization efforts and builds on the National Adaptation Plan (NAP) process by identifying specific sectors for green financial products and aligning with priority adaptation investments.</w:t>
            </w:r>
          </w:p>
        </w:tc>
        <w:tc>
          <w:tcPr>
            <w:tcW w:w="1099" w:type="pct"/>
          </w:tcPr>
          <w:p w14:paraId="12F49385" w14:textId="0AC49691" w:rsidR="00AB785B" w:rsidRPr="008043D1" w:rsidRDefault="00F10C86" w:rsidP="0027129E">
            <w:pPr>
              <w:spacing w:after="120"/>
              <w:jc w:val="both"/>
              <w:cnfStyle w:val="000000000000" w:firstRow="0" w:lastRow="0" w:firstColumn="0" w:lastColumn="0" w:oddVBand="0" w:evenVBand="0" w:oddHBand="0" w:evenHBand="0" w:firstRowFirstColumn="0" w:firstRowLastColumn="0" w:lastRowFirstColumn="0" w:lastRowLastColumn="0"/>
              <w:rPr>
                <w:sz w:val="18"/>
                <w:szCs w:val="18"/>
                <w:lang w:val="en-GB"/>
              </w:rPr>
            </w:pPr>
            <w:r w:rsidRPr="008043D1">
              <w:rPr>
                <w:sz w:val="18"/>
                <w:szCs w:val="18"/>
              </w:rPr>
              <w:t xml:space="preserve">Limited institutional capacities and technical expertise in financial institutions hinder the design, validation, and reporting of green financial products. Coordination gaps between public and private stakeholders slow the integration of global standards into national systems. Existing regulatory frameworks lack the incentives to attract financial institutions to green lending, which adds to implementation bottlenecks. Lessons from </w:t>
            </w:r>
            <w:r w:rsidR="00D100A4" w:rsidRPr="008043D1">
              <w:rPr>
                <w:sz w:val="18"/>
                <w:szCs w:val="18"/>
              </w:rPr>
              <w:t xml:space="preserve">the </w:t>
            </w:r>
            <w:r w:rsidRPr="008043D1">
              <w:rPr>
                <w:sz w:val="18"/>
                <w:szCs w:val="18"/>
              </w:rPr>
              <w:t xml:space="preserve">project reveal the importance of robust interagency coordination and stakeholder </w:t>
            </w:r>
            <w:r w:rsidRPr="008043D1">
              <w:rPr>
                <w:sz w:val="18"/>
                <w:szCs w:val="18"/>
              </w:rPr>
              <w:lastRenderedPageBreak/>
              <w:t>capacity-building to align strategies with national goals.</w:t>
            </w:r>
          </w:p>
        </w:tc>
      </w:tr>
    </w:tbl>
    <w:p w14:paraId="4AD3A23C" w14:textId="77777777" w:rsidR="00797FE8" w:rsidRDefault="00797FE8" w:rsidP="002D37D5">
      <w:pPr>
        <w:sectPr w:rsidR="00797FE8" w:rsidSect="00797FE8">
          <w:pgSz w:w="16840" w:h="11907" w:orient="landscape" w:code="9"/>
          <w:pgMar w:top="1440" w:right="1440" w:bottom="1440" w:left="1440" w:header="720" w:footer="720" w:gutter="0"/>
          <w:cols w:space="720"/>
          <w:docGrid w:linePitch="360"/>
        </w:sectPr>
      </w:pPr>
    </w:p>
    <w:p w14:paraId="086E8E9F" w14:textId="77777777" w:rsidR="00243485" w:rsidRPr="00444F9B" w:rsidRDefault="00243485" w:rsidP="002D37D5"/>
    <w:p w14:paraId="5824BAD3" w14:textId="6E9AA3F1" w:rsidR="00F97840" w:rsidRDefault="00F97840" w:rsidP="00D26AA0">
      <w:pPr>
        <w:pStyle w:val="Heading3"/>
      </w:pPr>
      <w:bookmarkStart w:id="5" w:name="_Toc118216351"/>
      <w:bookmarkStart w:id="6" w:name="_Toc119587226"/>
      <w:r w:rsidRPr="00F97840">
        <w:t>Section 3. Theory of change (ToC)</w:t>
      </w:r>
      <w:bookmarkEnd w:id="5"/>
      <w:bookmarkEnd w:id="6"/>
      <w:r w:rsidR="009D5709">
        <w:t xml:space="preserve"> </w:t>
      </w:r>
    </w:p>
    <w:p w14:paraId="28695FF8" w14:textId="12D33652" w:rsidR="00B71F1D" w:rsidRPr="00FF5FDA" w:rsidRDefault="00B71F1D" w:rsidP="00FF5FDA">
      <w:pPr>
        <w:pStyle w:val="ListParagraph"/>
        <w:numPr>
          <w:ilvl w:val="0"/>
          <w:numId w:val="29"/>
        </w:numPr>
        <w:spacing w:before="120" w:after="120" w:line="240" w:lineRule="auto"/>
        <w:ind w:right="-29"/>
        <w:jc w:val="both"/>
        <w:rPr>
          <w:rFonts w:cstheme="minorHAnsi"/>
          <w:sz w:val="20"/>
          <w:szCs w:val="20"/>
        </w:rPr>
      </w:pPr>
      <w:r w:rsidRPr="00FF5FDA">
        <w:rPr>
          <w:rFonts w:cstheme="minorHAnsi"/>
          <w:b/>
          <w:bCs/>
          <w:sz w:val="20"/>
          <w:szCs w:val="20"/>
        </w:rPr>
        <w:t>IF</w:t>
      </w:r>
      <w:r w:rsidRPr="00FF5FDA">
        <w:rPr>
          <w:rFonts w:cstheme="minorHAnsi"/>
          <w:sz w:val="20"/>
          <w:szCs w:val="20"/>
        </w:rPr>
        <w:t xml:space="preserve"> relevant stakeholders are capacitated to transparently and accountably manage green finance operations, including validation, verification, and reporting processes; and national and sectoral regulatory frameworks and bylaws are enhanced and operationalized; evidence based policy recommendation are developed to incentivize green finance products; and new green financial mechanisms and products tailored to the country’s needs are developed and piloted; and financial institutions, including banks, SDB, and CFC, are equipped with technical knowledge and navigated to mobilize green finance; </w:t>
      </w:r>
      <w:r w:rsidRPr="00FF5FDA">
        <w:rPr>
          <w:rFonts w:cstheme="minorHAnsi"/>
          <w:b/>
          <w:bCs/>
          <w:sz w:val="20"/>
          <w:szCs w:val="20"/>
        </w:rPr>
        <w:t>THEN</w:t>
      </w:r>
      <w:r w:rsidRPr="00FF5FDA">
        <w:rPr>
          <w:rFonts w:cstheme="minorHAnsi"/>
          <w:sz w:val="20"/>
          <w:szCs w:val="20"/>
        </w:rPr>
        <w:t xml:space="preserve"> Kyrgyzstan will be able to access and implement green finance; </w:t>
      </w:r>
      <w:r w:rsidRPr="00FF5FDA">
        <w:rPr>
          <w:rFonts w:cstheme="minorHAnsi"/>
          <w:b/>
          <w:bCs/>
          <w:sz w:val="20"/>
          <w:szCs w:val="20"/>
        </w:rPr>
        <w:t>BECAUSE</w:t>
      </w:r>
      <w:r w:rsidRPr="00FF5FDA">
        <w:rPr>
          <w:rFonts w:cstheme="minorHAnsi"/>
          <w:sz w:val="20"/>
          <w:szCs w:val="20"/>
        </w:rPr>
        <w:t xml:space="preserve"> an enabling environment with necessary regulatory frameworks, incentives, tools, standards and procedures, and novel business models, as well as enhanced capacities and knowledge of relevant stakeholders are in place to carry out priority actions to achieve its climate goals.</w:t>
      </w:r>
    </w:p>
    <w:p w14:paraId="0350E425" w14:textId="0E99FD27" w:rsidR="00DB7B65" w:rsidRPr="002E7CF3" w:rsidRDefault="00DB7B65" w:rsidP="00653A4E">
      <w:pPr>
        <w:spacing w:before="120" w:after="120" w:line="240" w:lineRule="auto"/>
        <w:ind w:right="-29"/>
        <w:jc w:val="both"/>
        <w:rPr>
          <w:rStyle w:val="DefaultText"/>
          <w:b/>
          <w:lang w:val="en-GB"/>
        </w:rPr>
      </w:pPr>
      <w:r w:rsidRPr="002E7CF3">
        <w:rPr>
          <w:rStyle w:val="DefaultText"/>
          <w:b/>
          <w:lang w:val="en-GB"/>
        </w:rPr>
        <w:t>3.1. Theory of Change</w:t>
      </w:r>
      <w:r w:rsidR="00B015AC" w:rsidRPr="002E7CF3">
        <w:rPr>
          <w:rStyle w:val="DefaultText"/>
          <w:b/>
          <w:lang w:val="en-GB"/>
        </w:rPr>
        <w:t xml:space="preserve"> – Diagram</w:t>
      </w:r>
    </w:p>
    <w:p w14:paraId="73B4A32B" w14:textId="106EA531" w:rsidR="00A46322" w:rsidRPr="005D18C0" w:rsidRDefault="00B71F1D" w:rsidP="00C2187A">
      <w:pPr>
        <w:spacing w:before="120" w:after="120" w:line="240" w:lineRule="auto"/>
        <w:ind w:right="-29"/>
        <w:jc w:val="both"/>
        <w:rPr>
          <w:rStyle w:val="DefaultText"/>
          <w:b/>
          <w:bCs/>
        </w:rPr>
      </w:pPr>
      <w:r>
        <w:rPr>
          <w:noProof/>
        </w:rPr>
        <w:drawing>
          <wp:inline distT="0" distB="0" distL="0" distR="0" wp14:anchorId="7FC4027E" wp14:editId="2992D3FE">
            <wp:extent cx="6362700" cy="6386753"/>
            <wp:effectExtent l="0" t="0" r="0" b="0"/>
            <wp:docPr id="803467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6758" name=""/>
                    <pic:cNvPicPr/>
                  </pic:nvPicPr>
                  <pic:blipFill>
                    <a:blip r:embed="rId25"/>
                    <a:stretch>
                      <a:fillRect/>
                    </a:stretch>
                  </pic:blipFill>
                  <pic:spPr>
                    <a:xfrm>
                      <a:off x="0" y="0"/>
                      <a:ext cx="6381916" cy="6406042"/>
                    </a:xfrm>
                    <a:prstGeom prst="rect">
                      <a:avLst/>
                    </a:prstGeom>
                  </pic:spPr>
                </pic:pic>
              </a:graphicData>
            </a:graphic>
          </wp:inline>
        </w:drawing>
      </w:r>
    </w:p>
    <w:p w14:paraId="6E76569B" w14:textId="010A608C" w:rsidR="00C25CBD" w:rsidRPr="00C25CBD" w:rsidRDefault="00C25CBD" w:rsidP="00C2187A">
      <w:pPr>
        <w:spacing w:before="120" w:after="120" w:line="240" w:lineRule="auto"/>
        <w:ind w:right="-29"/>
        <w:jc w:val="both"/>
        <w:rPr>
          <w:rStyle w:val="DefaultText"/>
          <w:b/>
          <w:bCs/>
        </w:rPr>
      </w:pPr>
      <w:r w:rsidRPr="00C25CBD">
        <w:rPr>
          <w:rStyle w:val="DefaultText"/>
          <w:b/>
          <w:bCs/>
        </w:rPr>
        <w:lastRenderedPageBreak/>
        <w:t>3.2. Theory of Change – Narrative</w:t>
      </w:r>
    </w:p>
    <w:p w14:paraId="2DEA9037" w14:textId="77777777" w:rsidR="00B71F1D" w:rsidRPr="0010463A" w:rsidRDefault="00B71F1D" w:rsidP="00B71F1D">
      <w:pPr>
        <w:spacing w:line="278" w:lineRule="auto"/>
        <w:jc w:val="both"/>
        <w:rPr>
          <w:rFonts w:ascii="Arial" w:hAnsi="Arial" w:cs="Arial"/>
          <w:sz w:val="20"/>
          <w:szCs w:val="20"/>
        </w:rPr>
      </w:pPr>
      <w:r w:rsidRPr="0010463A">
        <w:rPr>
          <w:rFonts w:ascii="Arial" w:hAnsi="Arial" w:cs="Arial"/>
          <w:b/>
          <w:bCs/>
          <w:sz w:val="20"/>
          <w:szCs w:val="20"/>
        </w:rPr>
        <w:t>Output 1.1.3: Decision-making processes defined and operationalized at the NDA level for No-Objection Letters and facilitation of climate change projects</w:t>
      </w:r>
      <w:r>
        <w:rPr>
          <w:rFonts w:ascii="Arial" w:hAnsi="Arial" w:cs="Arial"/>
          <w:b/>
          <w:bCs/>
          <w:sz w:val="20"/>
          <w:szCs w:val="20"/>
        </w:rPr>
        <w:t>.</w:t>
      </w:r>
    </w:p>
    <w:p w14:paraId="4D779420" w14:textId="5C7ACF32" w:rsidR="006021E5" w:rsidRPr="00CA1FF2" w:rsidRDefault="00B71F1D">
      <w:pPr>
        <w:pStyle w:val="ListParagraph"/>
        <w:numPr>
          <w:ilvl w:val="0"/>
          <w:numId w:val="29"/>
        </w:numPr>
        <w:spacing w:line="278" w:lineRule="auto"/>
        <w:jc w:val="both"/>
        <w:rPr>
          <w:rFonts w:ascii="Arial" w:hAnsi="Arial" w:cs="Arial"/>
          <w:sz w:val="20"/>
          <w:szCs w:val="20"/>
        </w:rPr>
      </w:pPr>
      <w:r w:rsidRPr="006021E5">
        <w:rPr>
          <w:rFonts w:ascii="Arial" w:hAnsi="Arial" w:cs="Arial"/>
          <w:sz w:val="20"/>
          <w:szCs w:val="20"/>
        </w:rPr>
        <w:t>Kyrgyzstan is highly vulnerable to climate and the demand for the green finance has been estimated at the level of USD 415 million for in the medium-term period, financial institutions do not possess adequate capacities to transparently and accountably track green finance operations</w:t>
      </w:r>
      <w:r w:rsidRPr="006021E5">
        <w:rPr>
          <w:rFonts w:ascii="Arial" w:hAnsi="Arial" w:cs="Arial"/>
          <w:b/>
          <w:bCs/>
          <w:sz w:val="20"/>
          <w:szCs w:val="20"/>
        </w:rPr>
        <w:t xml:space="preserve"> </w:t>
      </w:r>
      <w:r w:rsidRPr="006021E5">
        <w:rPr>
          <w:rFonts w:ascii="Arial" w:hAnsi="Arial" w:cs="Arial"/>
          <w:sz w:val="20"/>
          <w:szCs w:val="20"/>
        </w:rPr>
        <w:t>(</w:t>
      </w:r>
      <w:r w:rsidRPr="006021E5">
        <w:rPr>
          <w:rFonts w:ascii="Arial" w:hAnsi="Arial" w:cs="Arial"/>
          <w:b/>
          <w:bCs/>
          <w:sz w:val="20"/>
          <w:szCs w:val="20"/>
        </w:rPr>
        <w:t>Barrier 2</w:t>
      </w:r>
      <w:r w:rsidRPr="006021E5">
        <w:rPr>
          <w:rFonts w:ascii="Arial" w:hAnsi="Arial" w:cs="Arial"/>
          <w:sz w:val="20"/>
          <w:szCs w:val="20"/>
        </w:rPr>
        <w:t>).</w:t>
      </w:r>
      <w:r w:rsidRPr="006021E5">
        <w:rPr>
          <w:rFonts w:ascii="Arial" w:hAnsi="Arial" w:cs="Arial"/>
          <w:b/>
          <w:bCs/>
          <w:sz w:val="20"/>
          <w:szCs w:val="20"/>
        </w:rPr>
        <w:t xml:space="preserve"> </w:t>
      </w:r>
      <w:r w:rsidRPr="006021E5">
        <w:rPr>
          <w:rFonts w:ascii="Arial" w:hAnsi="Arial" w:cs="Arial"/>
          <w:sz w:val="20"/>
          <w:szCs w:val="20"/>
        </w:rPr>
        <w:t xml:space="preserve">Thus, impeding </w:t>
      </w:r>
      <w:r w:rsidR="0023362E" w:rsidRPr="006021E5">
        <w:rPr>
          <w:rFonts w:ascii="Arial" w:hAnsi="Arial" w:cs="Arial"/>
          <w:sz w:val="20"/>
          <w:szCs w:val="20"/>
        </w:rPr>
        <w:t>the supply</w:t>
      </w:r>
      <w:r w:rsidRPr="006021E5">
        <w:rPr>
          <w:rFonts w:ascii="Arial" w:hAnsi="Arial" w:cs="Arial"/>
          <w:sz w:val="20"/>
          <w:szCs w:val="20"/>
        </w:rPr>
        <w:t xml:space="preserve"> of financial resources to the private sector. To tackle the barrier the project will focus on building capacities of financial institutions to verify, validate green finance projects and report on them, and the Climate Finance Center to facilitate a robust system of identifying relevant technical capacity, </w:t>
      </w:r>
      <w:r w:rsidRPr="006021E5">
        <w:rPr>
          <w:rFonts w:cs="Arial"/>
          <w:sz w:val="20"/>
          <w:szCs w:val="20"/>
        </w:rPr>
        <w:t xml:space="preserve">enabling streamlined approval and facilitation of climate </w:t>
      </w:r>
      <w:r w:rsidRPr="00CA1FF2">
        <w:rPr>
          <w:rFonts w:cs="Arial"/>
          <w:sz w:val="20"/>
          <w:szCs w:val="20"/>
        </w:rPr>
        <w:t>change projects.</w:t>
      </w:r>
      <w:r w:rsidRPr="00CA1FF2">
        <w:rPr>
          <w:rFonts w:ascii="Arial" w:hAnsi="Arial" w:cs="Arial"/>
          <w:sz w:val="20"/>
          <w:szCs w:val="20"/>
        </w:rPr>
        <w:t xml:space="preserve"> </w:t>
      </w:r>
    </w:p>
    <w:p w14:paraId="397DB255" w14:textId="1D9F82D5" w:rsidR="00B71F1D" w:rsidRPr="00CA1FF2" w:rsidRDefault="00B71F1D">
      <w:pPr>
        <w:pStyle w:val="ListParagraph"/>
        <w:numPr>
          <w:ilvl w:val="0"/>
          <w:numId w:val="29"/>
        </w:numPr>
        <w:spacing w:line="278" w:lineRule="auto"/>
        <w:jc w:val="both"/>
        <w:rPr>
          <w:rFonts w:ascii="Arial" w:hAnsi="Arial" w:cs="Arial"/>
          <w:sz w:val="20"/>
          <w:szCs w:val="20"/>
        </w:rPr>
      </w:pPr>
      <w:r w:rsidRPr="00CA1FF2">
        <w:rPr>
          <w:rFonts w:ascii="Arial" w:hAnsi="Arial" w:cs="Arial"/>
          <w:sz w:val="20"/>
          <w:szCs w:val="20"/>
        </w:rPr>
        <w:t>To begin, the project will review and enhance validation, verification, and reporting systems within the State Development Bank</w:t>
      </w:r>
      <w:r w:rsidR="00A765C9" w:rsidRPr="00CA1FF2">
        <w:rPr>
          <w:rFonts w:ascii="Arial" w:hAnsi="Arial" w:cs="Arial"/>
          <w:sz w:val="20"/>
          <w:szCs w:val="20"/>
        </w:rPr>
        <w:t xml:space="preserve"> (SDB)</w:t>
      </w:r>
      <w:r w:rsidRPr="00CA1FF2">
        <w:rPr>
          <w:rFonts w:ascii="Arial" w:hAnsi="Arial" w:cs="Arial"/>
          <w:sz w:val="20"/>
          <w:szCs w:val="20"/>
        </w:rPr>
        <w:t xml:space="preserve"> and two commercial banks </w:t>
      </w:r>
      <w:r w:rsidRPr="00CA1FF2">
        <w:rPr>
          <w:rFonts w:ascii="Arial" w:hAnsi="Arial" w:cs="Arial"/>
          <w:b/>
          <w:bCs/>
          <w:sz w:val="20"/>
          <w:szCs w:val="20"/>
        </w:rPr>
        <w:t>(Activity 1.1.3.2.a).</w:t>
      </w:r>
      <w:r w:rsidRPr="00CA1FF2">
        <w:rPr>
          <w:rFonts w:ascii="Arial" w:hAnsi="Arial" w:cs="Arial"/>
          <w:sz w:val="20"/>
          <w:szCs w:val="20"/>
        </w:rPr>
        <w:t xml:space="preserve"> This step will produce comprehensive reviews of internal frameworks, identify gaps, and propose improvements that align with global standards and the national regulatory framework. The reviews will be </w:t>
      </w:r>
      <w:r w:rsidRPr="00CA1FF2">
        <w:rPr>
          <w:rFonts w:ascii="Arial" w:hAnsi="Arial" w:cs="Arial"/>
          <w:b/>
          <w:bCs/>
          <w:sz w:val="20"/>
          <w:szCs w:val="20"/>
        </w:rPr>
        <w:t>concluded in the drafting of specific to each of the banks corporate procedures to ensure compliance and eligibility for green finance</w:t>
      </w:r>
      <w:r w:rsidRPr="00CA1FF2">
        <w:rPr>
          <w:rFonts w:ascii="Arial" w:hAnsi="Arial" w:cs="Arial"/>
          <w:sz w:val="20"/>
          <w:szCs w:val="20"/>
        </w:rPr>
        <w:t>. Additionally, adapted guidelines will be developed to support financial institutions in setting up internal validation, verification, and reporting frameworks. These guidelines will include options for in-house systems as well as independent verification mechanisms, offering flexibility while maintaining rigor.</w:t>
      </w:r>
    </w:p>
    <w:p w14:paraId="5C21031F" w14:textId="1989F122" w:rsidR="00B71F1D" w:rsidRPr="00CA1FF2" w:rsidRDefault="00B71F1D" w:rsidP="00037CBF">
      <w:pPr>
        <w:pStyle w:val="ListParagraph"/>
        <w:numPr>
          <w:ilvl w:val="0"/>
          <w:numId w:val="29"/>
        </w:numPr>
        <w:spacing w:line="278" w:lineRule="auto"/>
        <w:jc w:val="both"/>
        <w:rPr>
          <w:rFonts w:ascii="Arial" w:hAnsi="Arial" w:cs="Arial"/>
          <w:sz w:val="20"/>
          <w:szCs w:val="20"/>
        </w:rPr>
      </w:pPr>
      <w:r w:rsidRPr="00CA1FF2">
        <w:rPr>
          <w:rFonts w:ascii="Arial" w:hAnsi="Arial" w:cs="Arial"/>
          <w:sz w:val="20"/>
          <w:szCs w:val="20"/>
        </w:rPr>
        <w:t>The second phase of this activity will focus on capacity-building efforts for financial institutions to operationalize the developed systems. Workshops will be conducted to train staff from the SDB and targeted commercial banks.</w:t>
      </w:r>
    </w:p>
    <w:p w14:paraId="3733812F" w14:textId="3C9A9AE6" w:rsidR="00513A4C" w:rsidRDefault="00B71F1D">
      <w:pPr>
        <w:pStyle w:val="ListParagraph"/>
        <w:numPr>
          <w:ilvl w:val="0"/>
          <w:numId w:val="29"/>
        </w:numPr>
        <w:spacing w:line="278" w:lineRule="auto"/>
        <w:jc w:val="both"/>
        <w:rPr>
          <w:rFonts w:ascii="Arial" w:hAnsi="Arial" w:cs="Arial"/>
          <w:sz w:val="20"/>
          <w:szCs w:val="20"/>
        </w:rPr>
      </w:pPr>
      <w:r w:rsidRPr="00CA1FF2">
        <w:rPr>
          <w:rFonts w:ascii="Arial" w:hAnsi="Arial" w:cs="Arial"/>
          <w:sz w:val="20"/>
          <w:szCs w:val="20"/>
        </w:rPr>
        <w:t xml:space="preserve">Complementing these efforts, the project will institutionalize a validation and verification system at the Climate Finance Center </w:t>
      </w:r>
      <w:r w:rsidRPr="00CA1FF2">
        <w:rPr>
          <w:rFonts w:ascii="Arial" w:hAnsi="Arial" w:cs="Arial"/>
          <w:b/>
          <w:bCs/>
          <w:sz w:val="20"/>
          <w:szCs w:val="20"/>
        </w:rPr>
        <w:t>(Activity 1.1.3.2.b).</w:t>
      </w:r>
      <w:r w:rsidRPr="00CA1FF2">
        <w:rPr>
          <w:rFonts w:ascii="Arial" w:hAnsi="Arial" w:cs="Arial"/>
          <w:sz w:val="20"/>
          <w:szCs w:val="20"/>
        </w:rPr>
        <w:t xml:space="preserve"> This will begin with the review and formulation of qualification requirements for validators and verifiers, ensuring alignment with global practices. The project will map existing national validators</w:t>
      </w:r>
      <w:r w:rsidRPr="00513A4C">
        <w:rPr>
          <w:rFonts w:ascii="Arial" w:hAnsi="Arial" w:cs="Arial"/>
          <w:sz w:val="20"/>
          <w:szCs w:val="20"/>
        </w:rPr>
        <w:t xml:space="preserve"> and verifiers, including reference checks, to create a vetted list of qualified entities. This comprehensive mapping exercise will ensure the availability of skilled professionals to support green finance operations in Kyrgyzstan.</w:t>
      </w:r>
    </w:p>
    <w:p w14:paraId="16A38808" w14:textId="55ACAE03" w:rsidR="00513A4C" w:rsidRDefault="00B71F1D">
      <w:pPr>
        <w:pStyle w:val="ListParagraph"/>
        <w:numPr>
          <w:ilvl w:val="0"/>
          <w:numId w:val="29"/>
        </w:numPr>
        <w:spacing w:line="278" w:lineRule="auto"/>
        <w:jc w:val="both"/>
        <w:rPr>
          <w:rFonts w:ascii="Arial" w:hAnsi="Arial" w:cs="Arial"/>
          <w:sz w:val="20"/>
          <w:szCs w:val="20"/>
        </w:rPr>
      </w:pPr>
      <w:r w:rsidRPr="00513A4C">
        <w:rPr>
          <w:rFonts w:ascii="Arial" w:hAnsi="Arial" w:cs="Arial"/>
          <w:sz w:val="20"/>
          <w:szCs w:val="20"/>
        </w:rPr>
        <w:t>To further institutionalize these efforts, a regulatory act will be developed to mandate the use of certified validators and verifiers for financial institutions engaging in green finance or participating in green projects. This act will also define requirements for mandatory independent verification based on project size and status, ensuring accountability and compliance with global standards. The regulation also will formalize the qualification requirements for validators and verifiers. These measures will create a clear and enforceable mechanism for validation and verification, enhancing the credibility and transparency of green finance operations in the country.</w:t>
      </w:r>
      <w:r w:rsidR="00CB6159">
        <w:rPr>
          <w:rFonts w:ascii="Arial" w:hAnsi="Arial" w:cs="Arial"/>
          <w:sz w:val="20"/>
          <w:szCs w:val="20"/>
        </w:rPr>
        <w:t xml:space="preserve"> </w:t>
      </w:r>
    </w:p>
    <w:p w14:paraId="5EC24992" w14:textId="710CE469" w:rsidR="00B71F1D" w:rsidRDefault="00B71F1D">
      <w:pPr>
        <w:pStyle w:val="ListParagraph"/>
        <w:numPr>
          <w:ilvl w:val="0"/>
          <w:numId w:val="29"/>
        </w:numPr>
        <w:spacing w:line="278" w:lineRule="auto"/>
        <w:jc w:val="both"/>
        <w:rPr>
          <w:rFonts w:ascii="Arial" w:hAnsi="Arial" w:cs="Arial"/>
          <w:sz w:val="20"/>
          <w:szCs w:val="20"/>
        </w:rPr>
      </w:pPr>
      <w:r w:rsidRPr="00513A4C">
        <w:rPr>
          <w:rFonts w:ascii="Arial" w:hAnsi="Arial" w:cs="Arial"/>
          <w:sz w:val="20"/>
          <w:szCs w:val="20"/>
        </w:rPr>
        <w:t>Several workshops will be organized with the Union of Banks to validate these systems and provide training to relevant stakeholders, ensuring a broad-based understanding of the requirements and further knowledge transfer.</w:t>
      </w:r>
    </w:p>
    <w:p w14:paraId="21693463" w14:textId="35841238" w:rsidR="00A93895" w:rsidRPr="00513A4C" w:rsidRDefault="00A93895">
      <w:pPr>
        <w:pStyle w:val="ListParagraph"/>
        <w:numPr>
          <w:ilvl w:val="0"/>
          <w:numId w:val="29"/>
        </w:numPr>
        <w:spacing w:line="278" w:lineRule="auto"/>
        <w:jc w:val="both"/>
        <w:rPr>
          <w:rFonts w:ascii="Arial" w:hAnsi="Arial" w:cs="Arial"/>
          <w:sz w:val="20"/>
          <w:szCs w:val="20"/>
        </w:rPr>
      </w:pPr>
      <w:r>
        <w:rPr>
          <w:rFonts w:ascii="Arial" w:hAnsi="Arial" w:cs="Arial"/>
          <w:sz w:val="20"/>
          <w:szCs w:val="20"/>
        </w:rPr>
        <w:t>Implementation of these activities (</w:t>
      </w:r>
      <w:r w:rsidRPr="00CA1FF2">
        <w:rPr>
          <w:rFonts w:ascii="Arial" w:hAnsi="Arial" w:cs="Arial"/>
          <w:sz w:val="20"/>
          <w:szCs w:val="20"/>
        </w:rPr>
        <w:t>Activity 1.1.3.2.a and Activity 1.1.3.2.b)</w:t>
      </w:r>
      <w:r w:rsidR="00E2491A">
        <w:rPr>
          <w:rFonts w:ascii="Arial" w:hAnsi="Arial" w:cs="Arial"/>
          <w:sz w:val="20"/>
          <w:szCs w:val="20"/>
        </w:rPr>
        <w:t xml:space="preserve"> </w:t>
      </w:r>
      <w:r w:rsidR="00A27027">
        <w:rPr>
          <w:rFonts w:ascii="Arial" w:hAnsi="Arial" w:cs="Arial"/>
          <w:sz w:val="20"/>
          <w:szCs w:val="20"/>
        </w:rPr>
        <w:t>will contribute</w:t>
      </w:r>
      <w:r w:rsidR="00E2491A">
        <w:rPr>
          <w:rFonts w:ascii="Arial" w:hAnsi="Arial" w:cs="Arial"/>
          <w:sz w:val="20"/>
          <w:szCs w:val="20"/>
        </w:rPr>
        <w:t xml:space="preserve"> establishment of </w:t>
      </w:r>
      <w:r w:rsidR="00CA1FF2">
        <w:rPr>
          <w:rFonts w:ascii="Arial" w:hAnsi="Arial" w:cs="Arial"/>
          <w:sz w:val="20"/>
          <w:szCs w:val="20"/>
        </w:rPr>
        <w:t>non-financial</w:t>
      </w:r>
      <w:r w:rsidR="00BB7297">
        <w:rPr>
          <w:rFonts w:ascii="Arial" w:hAnsi="Arial" w:cs="Arial"/>
          <w:sz w:val="20"/>
          <w:szCs w:val="20"/>
        </w:rPr>
        <w:t xml:space="preserve"> </w:t>
      </w:r>
      <w:r w:rsidR="00E2491A">
        <w:rPr>
          <w:rFonts w:ascii="Arial" w:hAnsi="Arial" w:cs="Arial"/>
          <w:sz w:val="20"/>
          <w:szCs w:val="20"/>
        </w:rPr>
        <w:t>reporting system</w:t>
      </w:r>
      <w:r w:rsidR="00A27027">
        <w:rPr>
          <w:rFonts w:ascii="Arial" w:hAnsi="Arial" w:cs="Arial"/>
          <w:sz w:val="20"/>
          <w:szCs w:val="20"/>
        </w:rPr>
        <w:t xml:space="preserve"> on green finance </w:t>
      </w:r>
      <w:proofErr w:type="gramStart"/>
      <w:r w:rsidR="00A27027">
        <w:rPr>
          <w:rFonts w:ascii="Arial" w:hAnsi="Arial" w:cs="Arial"/>
          <w:sz w:val="20"/>
          <w:szCs w:val="20"/>
        </w:rPr>
        <w:t>projects, and</w:t>
      </w:r>
      <w:proofErr w:type="gramEnd"/>
      <w:r>
        <w:rPr>
          <w:rFonts w:ascii="Arial" w:hAnsi="Arial" w:cs="Arial"/>
          <w:sz w:val="20"/>
          <w:szCs w:val="20"/>
        </w:rPr>
        <w:t xml:space="preserve"> will allow the NDA </w:t>
      </w:r>
      <w:r w:rsidR="000D0A73">
        <w:rPr>
          <w:rFonts w:ascii="Arial" w:hAnsi="Arial" w:cs="Arial"/>
          <w:sz w:val="20"/>
          <w:szCs w:val="20"/>
        </w:rPr>
        <w:t>for</w:t>
      </w:r>
      <w:r w:rsidR="00735C93">
        <w:rPr>
          <w:rFonts w:ascii="Arial" w:hAnsi="Arial" w:cs="Arial"/>
          <w:sz w:val="20"/>
          <w:szCs w:val="20"/>
        </w:rPr>
        <w:t xml:space="preserve"> facilitation of the climate change projects, based on actual data</w:t>
      </w:r>
      <w:r w:rsidR="00457893">
        <w:rPr>
          <w:rFonts w:ascii="Arial" w:hAnsi="Arial" w:cs="Arial"/>
          <w:sz w:val="20"/>
          <w:szCs w:val="20"/>
        </w:rPr>
        <w:t xml:space="preserve"> collected and reported by the financial institutions</w:t>
      </w:r>
      <w:r w:rsidR="00A27027">
        <w:rPr>
          <w:rFonts w:ascii="Arial" w:hAnsi="Arial" w:cs="Arial"/>
          <w:sz w:val="20"/>
          <w:szCs w:val="20"/>
        </w:rPr>
        <w:t>.</w:t>
      </w:r>
    </w:p>
    <w:p w14:paraId="5B80E936" w14:textId="77777777" w:rsidR="00B71F1D" w:rsidRDefault="00B71F1D" w:rsidP="00B71F1D">
      <w:pPr>
        <w:spacing w:line="278" w:lineRule="auto"/>
        <w:jc w:val="both"/>
        <w:rPr>
          <w:rFonts w:ascii="Arial" w:hAnsi="Arial" w:cs="Arial"/>
          <w:sz w:val="20"/>
          <w:szCs w:val="20"/>
        </w:rPr>
      </w:pPr>
      <w:r>
        <w:rPr>
          <w:rFonts w:ascii="Arial" w:hAnsi="Arial" w:cs="Arial"/>
          <w:b/>
          <w:bCs/>
          <w:sz w:val="20"/>
          <w:szCs w:val="20"/>
        </w:rPr>
        <w:t xml:space="preserve">Output 1.3.1 </w:t>
      </w:r>
      <w:r w:rsidRPr="00847DFC">
        <w:rPr>
          <w:rFonts w:ascii="Arial" w:hAnsi="Arial" w:cs="Arial"/>
          <w:b/>
          <w:bCs/>
          <w:color w:val="000000" w:themeColor="text1"/>
          <w:sz w:val="20"/>
          <w:szCs w:val="20"/>
        </w:rPr>
        <w:t>Relevant stakeholders engaged and trained to support planning, programming and implementation of GCF funded activities.</w:t>
      </w:r>
    </w:p>
    <w:p w14:paraId="7B7FB134" w14:textId="08A9BF9D" w:rsidR="00B71F1D" w:rsidRPr="00305F13" w:rsidRDefault="00B71F1D" w:rsidP="00305F13">
      <w:pPr>
        <w:pStyle w:val="ListParagraph"/>
        <w:numPr>
          <w:ilvl w:val="0"/>
          <w:numId w:val="29"/>
        </w:numPr>
        <w:spacing w:line="278" w:lineRule="auto"/>
        <w:jc w:val="both"/>
        <w:rPr>
          <w:rFonts w:ascii="Arial" w:hAnsi="Arial" w:cs="Arial"/>
          <w:sz w:val="20"/>
          <w:szCs w:val="20"/>
        </w:rPr>
      </w:pPr>
      <w:r w:rsidRPr="00305F13">
        <w:rPr>
          <w:rFonts w:ascii="Arial" w:hAnsi="Arial" w:cs="Arial"/>
          <w:sz w:val="20"/>
          <w:szCs w:val="20"/>
        </w:rPr>
        <w:t xml:space="preserve">Output 1.3.1 will build on results of Output </w:t>
      </w:r>
      <w:r w:rsidRPr="002C3917">
        <w:rPr>
          <w:rFonts w:ascii="Arial" w:hAnsi="Arial" w:cs="Arial"/>
          <w:sz w:val="20"/>
          <w:szCs w:val="20"/>
        </w:rPr>
        <w:t>1.1.3,</w:t>
      </w:r>
      <w:r w:rsidRPr="00305F13">
        <w:rPr>
          <w:rFonts w:ascii="Arial" w:hAnsi="Arial" w:cs="Arial"/>
          <w:sz w:val="20"/>
          <w:szCs w:val="20"/>
        </w:rPr>
        <w:t xml:space="preserve"> addressing </w:t>
      </w:r>
      <w:r w:rsidRPr="00305F13">
        <w:rPr>
          <w:rFonts w:ascii="Arial" w:hAnsi="Arial" w:cs="Arial"/>
          <w:b/>
          <w:bCs/>
          <w:sz w:val="20"/>
          <w:szCs w:val="20"/>
        </w:rPr>
        <w:t>Barrier 2</w:t>
      </w:r>
      <w:r w:rsidRPr="00305F13">
        <w:rPr>
          <w:rFonts w:ascii="Arial" w:hAnsi="Arial" w:cs="Arial"/>
          <w:sz w:val="20"/>
          <w:szCs w:val="20"/>
        </w:rPr>
        <w:t xml:space="preserve"> Inadequate capacity of financial institutions to transparently and accountably track green finance. Capacitation of financial institutions will be </w:t>
      </w:r>
      <w:r w:rsidRPr="00CA1FF2">
        <w:rPr>
          <w:rFonts w:ascii="Arial" w:hAnsi="Arial" w:cs="Arial"/>
          <w:sz w:val="20"/>
          <w:szCs w:val="20"/>
        </w:rPr>
        <w:t xml:space="preserve">delivered through transferring standardized knowledge generated as the result of implementation of Activities </w:t>
      </w:r>
      <w:r w:rsidR="00133067" w:rsidRPr="00CA1FF2">
        <w:rPr>
          <w:rFonts w:ascii="Arial" w:hAnsi="Arial" w:cs="Arial"/>
          <w:sz w:val="20"/>
          <w:szCs w:val="20"/>
        </w:rPr>
        <w:t xml:space="preserve">1.1.3.2.a </w:t>
      </w:r>
      <w:r w:rsidRPr="00CA1FF2">
        <w:rPr>
          <w:rFonts w:ascii="Arial" w:hAnsi="Arial" w:cs="Arial"/>
          <w:sz w:val="20"/>
          <w:szCs w:val="20"/>
        </w:rPr>
        <w:t xml:space="preserve">and </w:t>
      </w:r>
      <w:r w:rsidR="00133067" w:rsidRPr="00CA1FF2">
        <w:rPr>
          <w:rFonts w:ascii="Arial" w:hAnsi="Arial" w:cs="Arial"/>
          <w:sz w:val="20"/>
          <w:szCs w:val="20"/>
        </w:rPr>
        <w:t>1.1.3.2.b</w:t>
      </w:r>
      <w:r w:rsidRPr="00305F13">
        <w:rPr>
          <w:rFonts w:ascii="Arial" w:hAnsi="Arial" w:cs="Arial"/>
          <w:sz w:val="20"/>
          <w:szCs w:val="20"/>
        </w:rPr>
        <w:t xml:space="preserve">. </w:t>
      </w:r>
      <w:r w:rsidR="0094460A" w:rsidRPr="002C3917">
        <w:rPr>
          <w:rFonts w:ascii="Arial" w:hAnsi="Arial" w:cs="Arial"/>
          <w:b/>
          <w:bCs/>
          <w:color w:val="134163" w:themeColor="accent6" w:themeShade="80"/>
          <w:sz w:val="20"/>
          <w:szCs w:val="20"/>
        </w:rPr>
        <w:t>Activity</w:t>
      </w:r>
      <w:r w:rsidR="000F5A7D" w:rsidRPr="002C3917">
        <w:rPr>
          <w:rFonts w:ascii="Arial" w:hAnsi="Arial" w:cs="Arial"/>
          <w:b/>
          <w:bCs/>
          <w:color w:val="134163" w:themeColor="accent6" w:themeShade="80"/>
          <w:sz w:val="20"/>
          <w:szCs w:val="20"/>
        </w:rPr>
        <w:t xml:space="preserve"> 1.3.1.1.a.</w:t>
      </w:r>
      <w:r w:rsidRPr="002C3917">
        <w:rPr>
          <w:rFonts w:ascii="Arial" w:hAnsi="Arial" w:cs="Arial"/>
          <w:color w:val="134163" w:themeColor="accent6" w:themeShade="80"/>
          <w:sz w:val="20"/>
          <w:szCs w:val="20"/>
        </w:rPr>
        <w:t xml:space="preserve"> </w:t>
      </w:r>
      <w:r w:rsidRPr="00305F13">
        <w:rPr>
          <w:rFonts w:ascii="Arial" w:hAnsi="Arial" w:cs="Arial"/>
          <w:sz w:val="20"/>
          <w:szCs w:val="20"/>
        </w:rPr>
        <w:t>will include</w:t>
      </w:r>
      <w:r w:rsidR="007560E0" w:rsidRPr="00305F13">
        <w:rPr>
          <w:rFonts w:ascii="Arial" w:hAnsi="Arial" w:cs="Arial"/>
          <w:sz w:val="20"/>
          <w:szCs w:val="20"/>
        </w:rPr>
        <w:t xml:space="preserve"> </w:t>
      </w:r>
      <w:r w:rsidR="00313FDC" w:rsidRPr="00305F13">
        <w:rPr>
          <w:rFonts w:ascii="Arial" w:hAnsi="Arial" w:cs="Arial"/>
          <w:sz w:val="20"/>
          <w:szCs w:val="20"/>
        </w:rPr>
        <w:t>training</w:t>
      </w:r>
      <w:r w:rsidR="007560E0" w:rsidRPr="00305F13">
        <w:rPr>
          <w:rFonts w:ascii="Arial" w:hAnsi="Arial" w:cs="Arial"/>
          <w:sz w:val="20"/>
          <w:szCs w:val="20"/>
        </w:rPr>
        <w:t xml:space="preserve"> of trainers (</w:t>
      </w:r>
      <w:proofErr w:type="spellStart"/>
      <w:r w:rsidRPr="00305F13">
        <w:rPr>
          <w:rFonts w:ascii="Arial" w:hAnsi="Arial" w:cs="Arial"/>
          <w:sz w:val="20"/>
          <w:szCs w:val="20"/>
        </w:rPr>
        <w:t>ToTs</w:t>
      </w:r>
      <w:proofErr w:type="spellEnd"/>
      <w:r w:rsidR="007560E0" w:rsidRPr="00305F13">
        <w:rPr>
          <w:rFonts w:ascii="Arial" w:hAnsi="Arial" w:cs="Arial"/>
          <w:sz w:val="20"/>
          <w:szCs w:val="20"/>
        </w:rPr>
        <w:t>)</w:t>
      </w:r>
      <w:r w:rsidRPr="00305F13">
        <w:rPr>
          <w:rFonts w:ascii="Arial" w:hAnsi="Arial" w:cs="Arial"/>
          <w:sz w:val="20"/>
          <w:szCs w:val="20"/>
        </w:rPr>
        <w:t xml:space="preserve"> for the Sustainable Finance Academy, established by the Union of Banks. To </w:t>
      </w:r>
      <w:r w:rsidRPr="00305F13">
        <w:rPr>
          <w:rFonts w:ascii="Arial" w:hAnsi="Arial" w:cs="Arial"/>
          <w:sz w:val="20"/>
          <w:szCs w:val="20"/>
        </w:rPr>
        <w:lastRenderedPageBreak/>
        <w:t xml:space="preserve">institutionalize knowledge sharing, guidelines on validation and verification practices will be published, offering a benchmark for other national financial institutions to adopt. Additionally, the </w:t>
      </w:r>
      <w:r w:rsidR="00697E0D" w:rsidRPr="00305F13">
        <w:rPr>
          <w:rFonts w:ascii="Arial" w:hAnsi="Arial" w:cs="Arial"/>
          <w:sz w:val="20"/>
          <w:szCs w:val="20"/>
        </w:rPr>
        <w:t>p</w:t>
      </w:r>
      <w:r w:rsidRPr="00305F13">
        <w:rPr>
          <w:rFonts w:ascii="Arial" w:hAnsi="Arial" w:cs="Arial"/>
          <w:sz w:val="20"/>
          <w:szCs w:val="20"/>
        </w:rPr>
        <w:t>roject will produce video guides to ensure wider coverage of potential beneficiaries.</w:t>
      </w:r>
    </w:p>
    <w:p w14:paraId="4C761FD9" w14:textId="0C575ADE" w:rsidR="00B71F1D" w:rsidRDefault="00B71F1D">
      <w:pPr>
        <w:pStyle w:val="ListParagraph"/>
        <w:numPr>
          <w:ilvl w:val="0"/>
          <w:numId w:val="29"/>
        </w:numPr>
        <w:spacing w:line="278" w:lineRule="auto"/>
        <w:jc w:val="both"/>
        <w:rPr>
          <w:rFonts w:ascii="Arial" w:hAnsi="Arial" w:cs="Arial"/>
          <w:sz w:val="20"/>
          <w:szCs w:val="20"/>
        </w:rPr>
      </w:pPr>
      <w:r w:rsidRPr="00305F13">
        <w:rPr>
          <w:rFonts w:ascii="Arial" w:hAnsi="Arial" w:cs="Arial"/>
          <w:b/>
          <w:bCs/>
          <w:sz w:val="20"/>
          <w:szCs w:val="20"/>
        </w:rPr>
        <w:t>Output 2.2.5</w:t>
      </w:r>
      <w:r w:rsidR="00586658">
        <w:rPr>
          <w:rFonts w:ascii="Arial" w:hAnsi="Arial" w:cs="Arial"/>
          <w:b/>
          <w:bCs/>
          <w:sz w:val="20"/>
          <w:szCs w:val="20"/>
        </w:rPr>
        <w:t xml:space="preserve">. </w:t>
      </w:r>
      <w:r w:rsidRPr="00305F13">
        <w:rPr>
          <w:rFonts w:ascii="Arial" w:hAnsi="Arial" w:cs="Arial"/>
          <w:b/>
          <w:bCs/>
          <w:sz w:val="20"/>
          <w:szCs w:val="20"/>
        </w:rPr>
        <w:t xml:space="preserve">Studies, action plans, modelling efforts and other research efforts conducted/developed. </w:t>
      </w:r>
      <w:r w:rsidR="00503198" w:rsidRPr="00305F13">
        <w:rPr>
          <w:rFonts w:ascii="Arial" w:hAnsi="Arial" w:cs="Arial"/>
          <w:b/>
          <w:bCs/>
          <w:sz w:val="20"/>
          <w:szCs w:val="20"/>
        </w:rPr>
        <w:t xml:space="preserve">Output 2.2.6. </w:t>
      </w:r>
      <w:r w:rsidRPr="00305F13">
        <w:rPr>
          <w:rFonts w:ascii="Arial" w:hAnsi="Arial" w:cs="Arial"/>
          <w:b/>
          <w:bCs/>
          <w:sz w:val="20"/>
          <w:szCs w:val="20"/>
        </w:rPr>
        <w:t>Sectorial strategic frameworks or associated plans developed.</w:t>
      </w:r>
      <w:r w:rsidR="00305F13" w:rsidRPr="00305F13">
        <w:rPr>
          <w:rFonts w:ascii="Arial" w:hAnsi="Arial" w:cs="Arial"/>
          <w:b/>
          <w:bCs/>
          <w:sz w:val="20"/>
          <w:szCs w:val="20"/>
        </w:rPr>
        <w:t xml:space="preserve"> </w:t>
      </w:r>
      <w:r w:rsidR="00305F13">
        <w:rPr>
          <w:rFonts w:ascii="Arial" w:hAnsi="Arial" w:cs="Arial"/>
          <w:b/>
          <w:bCs/>
          <w:sz w:val="20"/>
          <w:szCs w:val="20"/>
        </w:rPr>
        <w:t xml:space="preserve"> </w:t>
      </w:r>
      <w:r w:rsidRPr="00305F13">
        <w:rPr>
          <w:rFonts w:ascii="Arial" w:hAnsi="Arial" w:cs="Arial"/>
          <w:sz w:val="20"/>
          <w:szCs w:val="20"/>
        </w:rPr>
        <w:t xml:space="preserve">To advance the regulatory environment for green finance in Kyrgyzstan, </w:t>
      </w:r>
      <w:r w:rsidRPr="00305F13">
        <w:rPr>
          <w:rFonts w:ascii="Arial" w:hAnsi="Arial" w:cs="Arial"/>
          <w:b/>
          <w:bCs/>
          <w:sz w:val="20"/>
          <w:szCs w:val="20"/>
        </w:rPr>
        <w:t>Outcome 2.2</w:t>
      </w:r>
      <w:r w:rsidRPr="00305F13">
        <w:rPr>
          <w:rFonts w:ascii="Arial" w:hAnsi="Arial" w:cs="Arial"/>
          <w:sz w:val="20"/>
          <w:szCs w:val="20"/>
        </w:rPr>
        <w:t xml:space="preserve"> focuses on developing the standards, guidelines, and incentives needed to strengthen the financial sector’s capacity to integrate green finance practices</w:t>
      </w:r>
      <w:r w:rsidR="00F23302" w:rsidRPr="00305F13">
        <w:rPr>
          <w:rFonts w:ascii="Arial" w:hAnsi="Arial" w:cs="Arial"/>
          <w:sz w:val="20"/>
          <w:szCs w:val="20"/>
        </w:rPr>
        <w:t xml:space="preserve"> including mitigation and adaptation strategies</w:t>
      </w:r>
      <w:r w:rsidRPr="00305F13">
        <w:rPr>
          <w:rFonts w:ascii="Arial" w:hAnsi="Arial" w:cs="Arial"/>
          <w:sz w:val="20"/>
          <w:szCs w:val="20"/>
        </w:rPr>
        <w:t xml:space="preserve">. This </w:t>
      </w:r>
      <w:r w:rsidR="00BC07C5" w:rsidRPr="00305F13">
        <w:rPr>
          <w:rFonts w:ascii="Arial" w:hAnsi="Arial" w:cs="Arial"/>
          <w:sz w:val="20"/>
          <w:szCs w:val="20"/>
        </w:rPr>
        <w:t>outcome</w:t>
      </w:r>
      <w:r w:rsidRPr="00305F13">
        <w:rPr>
          <w:rFonts w:ascii="Arial" w:hAnsi="Arial" w:cs="Arial"/>
          <w:sz w:val="20"/>
          <w:szCs w:val="20"/>
        </w:rPr>
        <w:t xml:space="preserve"> addresses both regulatory gaps and the absence of incentives for financial institutions to promote green finance products, tackling </w:t>
      </w:r>
      <w:r w:rsidRPr="00305F13">
        <w:rPr>
          <w:rFonts w:ascii="Arial" w:hAnsi="Arial" w:cs="Arial"/>
          <w:b/>
          <w:bCs/>
          <w:sz w:val="20"/>
          <w:szCs w:val="20"/>
        </w:rPr>
        <w:t xml:space="preserve">Barrier 1: </w:t>
      </w:r>
      <w:r w:rsidRPr="00305F13">
        <w:rPr>
          <w:rFonts w:ascii="Arial" w:hAnsi="Arial" w:cs="Arial"/>
          <w:sz w:val="20"/>
          <w:szCs w:val="20"/>
        </w:rPr>
        <w:t xml:space="preserve">Insufficient sectoral regulatory frameworks and bylaws for green finance and </w:t>
      </w:r>
      <w:r w:rsidRPr="00305F13">
        <w:rPr>
          <w:rFonts w:ascii="Arial" w:hAnsi="Arial" w:cs="Arial"/>
          <w:b/>
          <w:bCs/>
          <w:sz w:val="20"/>
          <w:szCs w:val="20"/>
        </w:rPr>
        <w:t xml:space="preserve">Barrier 4: </w:t>
      </w:r>
      <w:r w:rsidRPr="00305F13">
        <w:rPr>
          <w:rFonts w:ascii="Arial" w:hAnsi="Arial" w:cs="Arial"/>
          <w:sz w:val="20"/>
          <w:szCs w:val="20"/>
        </w:rPr>
        <w:t>Absence of incentives for financial institutions to promote green finance products.</w:t>
      </w:r>
    </w:p>
    <w:p w14:paraId="1E75D019" w14:textId="77777777" w:rsidR="00305F13" w:rsidRPr="00305F13" w:rsidRDefault="00305F13" w:rsidP="00305F13">
      <w:pPr>
        <w:pStyle w:val="ListParagraph"/>
        <w:spacing w:line="278" w:lineRule="auto"/>
        <w:ind w:left="360"/>
        <w:jc w:val="both"/>
        <w:rPr>
          <w:rFonts w:ascii="Arial" w:hAnsi="Arial" w:cs="Arial"/>
          <w:sz w:val="20"/>
          <w:szCs w:val="20"/>
        </w:rPr>
      </w:pPr>
    </w:p>
    <w:p w14:paraId="6AB09B3A" w14:textId="77AD1E8A" w:rsidR="00B71F1D" w:rsidRDefault="00B71F1D" w:rsidP="00305F13">
      <w:pPr>
        <w:pStyle w:val="ListParagraph"/>
        <w:numPr>
          <w:ilvl w:val="0"/>
          <w:numId w:val="29"/>
        </w:numPr>
        <w:spacing w:line="278" w:lineRule="auto"/>
        <w:jc w:val="both"/>
        <w:rPr>
          <w:rFonts w:ascii="Arial" w:hAnsi="Arial" w:cs="Arial"/>
          <w:sz w:val="20"/>
          <w:szCs w:val="20"/>
        </w:rPr>
      </w:pPr>
      <w:r w:rsidRPr="002C3917">
        <w:rPr>
          <w:rFonts w:ascii="Arial" w:hAnsi="Arial" w:cs="Arial"/>
          <w:b/>
          <w:bCs/>
          <w:sz w:val="20"/>
          <w:szCs w:val="20"/>
        </w:rPr>
        <w:t>The first output under this outcome entails conducting a gap analysis of the national financing regulatory framework, comparing it to international standards and best practices for green finance and non-financial reporting</w:t>
      </w:r>
      <w:r w:rsidR="00AE6903">
        <w:rPr>
          <w:rStyle w:val="FootnoteReference"/>
          <w:rFonts w:ascii="Arial" w:hAnsi="Arial" w:cs="Arial"/>
          <w:b/>
          <w:bCs/>
          <w:sz w:val="20"/>
          <w:szCs w:val="20"/>
        </w:rPr>
        <w:footnoteReference w:id="113"/>
      </w:r>
      <w:r w:rsidRPr="002C3917">
        <w:rPr>
          <w:rFonts w:ascii="Arial" w:hAnsi="Arial" w:cs="Arial"/>
          <w:b/>
          <w:bCs/>
          <w:sz w:val="20"/>
          <w:szCs w:val="20"/>
        </w:rPr>
        <w:t xml:space="preserve"> (Activity 2.2.5.1.a).</w:t>
      </w:r>
      <w:r w:rsidRPr="00305F13">
        <w:rPr>
          <w:rFonts w:ascii="Arial" w:hAnsi="Arial" w:cs="Arial"/>
          <w:sz w:val="20"/>
          <w:szCs w:val="20"/>
        </w:rPr>
        <w:t xml:space="preserve"> This activity will provide a critical understanding of areas where Kyrgyzstan’s current framework falls short and where alignment with global practices is essential. The analysis will also identify opportunities to incorporate climate risk management tools, such as reporting requirements, oversight procedures, and standardized norms, ensuring that financial institutions have a robust framework for assessing and mitigating climate risks.</w:t>
      </w:r>
      <w:r w:rsidR="001454E1">
        <w:rPr>
          <w:rFonts w:ascii="Arial" w:hAnsi="Arial" w:cs="Arial"/>
          <w:sz w:val="20"/>
          <w:szCs w:val="20"/>
        </w:rPr>
        <w:t xml:space="preserve"> </w:t>
      </w:r>
    </w:p>
    <w:p w14:paraId="03DEC511" w14:textId="77777777" w:rsidR="00305F13" w:rsidRPr="00305F13" w:rsidRDefault="00305F13" w:rsidP="00305F13">
      <w:pPr>
        <w:pStyle w:val="ListParagraph"/>
        <w:spacing w:line="278" w:lineRule="auto"/>
        <w:ind w:left="360"/>
        <w:jc w:val="both"/>
        <w:rPr>
          <w:rFonts w:ascii="Arial" w:hAnsi="Arial" w:cs="Arial"/>
          <w:sz w:val="20"/>
          <w:szCs w:val="20"/>
        </w:rPr>
      </w:pPr>
    </w:p>
    <w:p w14:paraId="09C390FB" w14:textId="77777777" w:rsidR="00340EDF" w:rsidRDefault="00B71F1D">
      <w:pPr>
        <w:pStyle w:val="ListParagraph"/>
        <w:numPr>
          <w:ilvl w:val="0"/>
          <w:numId w:val="29"/>
        </w:numPr>
        <w:spacing w:line="278" w:lineRule="auto"/>
        <w:jc w:val="both"/>
        <w:rPr>
          <w:rFonts w:ascii="Arial" w:hAnsi="Arial" w:cs="Arial"/>
          <w:sz w:val="20"/>
          <w:szCs w:val="20"/>
        </w:rPr>
      </w:pPr>
      <w:r w:rsidRPr="00340EDF">
        <w:rPr>
          <w:rFonts w:ascii="Arial" w:hAnsi="Arial" w:cs="Arial"/>
          <w:sz w:val="20"/>
          <w:szCs w:val="20"/>
        </w:rPr>
        <w:t>Building on the findings of the gap analysis, the project will develop recommendations for climate risk management tools and approaches tailored to the Kyrgyz context, including guidelines for reporting requirements and non-financial disclosures. These tools will address the growing demand for transparent climate-related disclosures, equipping financial institutions with the necessary mechanisms to account for and report on climate risks and impacts effectively.</w:t>
      </w:r>
      <w:r w:rsidR="00305F13" w:rsidRPr="00340EDF">
        <w:rPr>
          <w:rFonts w:ascii="Arial" w:hAnsi="Arial" w:cs="Arial"/>
          <w:sz w:val="20"/>
          <w:szCs w:val="20"/>
        </w:rPr>
        <w:t xml:space="preserve"> </w:t>
      </w:r>
      <w:r w:rsidRPr="00340EDF">
        <w:rPr>
          <w:rFonts w:ascii="Arial" w:hAnsi="Arial" w:cs="Arial"/>
          <w:sz w:val="20"/>
          <w:szCs w:val="20"/>
        </w:rPr>
        <w:t xml:space="preserve">To socialize and promote these recommendations, a joint workshop will be organized with key stakeholders, including the National Bank of Kyrgyz Republic, the Union of Banks, and international financial institutions such as IFC, ADB, WB, EBRD, </w:t>
      </w:r>
      <w:r w:rsidR="007F2F5B" w:rsidRPr="00340EDF">
        <w:rPr>
          <w:rFonts w:ascii="Arial" w:hAnsi="Arial" w:cs="Arial"/>
          <w:sz w:val="20"/>
          <w:szCs w:val="20"/>
        </w:rPr>
        <w:t>civil society organizations</w:t>
      </w:r>
      <w:r w:rsidRPr="00340EDF">
        <w:rPr>
          <w:rFonts w:ascii="Arial" w:hAnsi="Arial" w:cs="Arial"/>
          <w:sz w:val="20"/>
          <w:szCs w:val="20"/>
        </w:rPr>
        <w:t xml:space="preserve"> and private financial institutions. This workshop will serve as a platform for discussion, capacity building, and consensus-building, ensuring alignment among all stakeholders on the adoption of green finance standards and guidelines. </w:t>
      </w:r>
      <w:r w:rsidR="00305F13" w:rsidRPr="00340EDF">
        <w:rPr>
          <w:rFonts w:ascii="Arial" w:hAnsi="Arial" w:cs="Arial"/>
          <w:sz w:val="20"/>
          <w:szCs w:val="20"/>
        </w:rPr>
        <w:t xml:space="preserve"> </w:t>
      </w:r>
      <w:r w:rsidRPr="00340EDF">
        <w:rPr>
          <w:rFonts w:ascii="Arial" w:hAnsi="Arial" w:cs="Arial"/>
          <w:sz w:val="20"/>
          <w:szCs w:val="20"/>
        </w:rPr>
        <w:t xml:space="preserve">To establish a robust foundation for sustainable finance in Kyrgyzstan, </w:t>
      </w:r>
      <w:r w:rsidRPr="00340EDF">
        <w:rPr>
          <w:rFonts w:ascii="Arial" w:hAnsi="Arial" w:cs="Arial"/>
          <w:b/>
          <w:bCs/>
          <w:sz w:val="20"/>
          <w:szCs w:val="20"/>
        </w:rPr>
        <w:t>Activity 2.2.6.1.a focuses on the development of a sectoral regulatory framework tailored to operationalizing the Green Taxonomy</w:t>
      </w:r>
      <w:r w:rsidRPr="00340EDF">
        <w:rPr>
          <w:rFonts w:ascii="Arial" w:hAnsi="Arial" w:cs="Arial"/>
          <w:sz w:val="20"/>
          <w:szCs w:val="20"/>
        </w:rPr>
        <w:t xml:space="preserve">. This effort addresses </w:t>
      </w:r>
      <w:r w:rsidRPr="00340EDF">
        <w:rPr>
          <w:rFonts w:ascii="Arial" w:hAnsi="Arial" w:cs="Arial"/>
          <w:b/>
          <w:bCs/>
          <w:sz w:val="20"/>
          <w:szCs w:val="20"/>
        </w:rPr>
        <w:t xml:space="preserve">Barrier 1: </w:t>
      </w:r>
      <w:r w:rsidRPr="00340EDF">
        <w:rPr>
          <w:rFonts w:ascii="Arial" w:hAnsi="Arial" w:cs="Arial"/>
          <w:sz w:val="20"/>
          <w:szCs w:val="20"/>
        </w:rPr>
        <w:t xml:space="preserve">Insufficient sectoral regulatory frameworks and bylaws for green finance, a critical gap that hinders the mainstreaming of climate-aligned investments and sector-specific adherence to sustainable finance principles. Operationalization of the Green Taxonomy is the </w:t>
      </w:r>
      <w:r w:rsidR="00BC07C5" w:rsidRPr="00340EDF">
        <w:rPr>
          <w:rFonts w:ascii="Arial" w:hAnsi="Arial" w:cs="Arial"/>
          <w:sz w:val="20"/>
          <w:szCs w:val="20"/>
        </w:rPr>
        <w:t xml:space="preserve">fundamental </w:t>
      </w:r>
      <w:r w:rsidRPr="00340EDF">
        <w:rPr>
          <w:rFonts w:ascii="Arial" w:hAnsi="Arial" w:cs="Arial"/>
          <w:sz w:val="20"/>
          <w:szCs w:val="20"/>
        </w:rPr>
        <w:t>process for the whole private sector implementing or planning to implement green projects, as it bridges sectoral regulations, such as fiscal incentives for green technologies.</w:t>
      </w:r>
    </w:p>
    <w:p w14:paraId="72D84628" w14:textId="77777777" w:rsidR="00340EDF" w:rsidRDefault="00340EDF" w:rsidP="00340EDF">
      <w:pPr>
        <w:pStyle w:val="ListParagraph"/>
        <w:spacing w:line="278" w:lineRule="auto"/>
        <w:ind w:left="360"/>
        <w:jc w:val="both"/>
        <w:rPr>
          <w:rFonts w:ascii="Arial" w:hAnsi="Arial" w:cs="Arial"/>
          <w:sz w:val="20"/>
          <w:szCs w:val="20"/>
        </w:rPr>
      </w:pPr>
    </w:p>
    <w:p w14:paraId="1E5C69C9" w14:textId="77777777" w:rsidR="002C3917" w:rsidRDefault="00B71F1D">
      <w:pPr>
        <w:pStyle w:val="ListParagraph"/>
        <w:numPr>
          <w:ilvl w:val="0"/>
          <w:numId w:val="29"/>
        </w:numPr>
        <w:spacing w:line="278" w:lineRule="auto"/>
        <w:jc w:val="both"/>
        <w:rPr>
          <w:rFonts w:ascii="Arial" w:hAnsi="Arial" w:cs="Arial"/>
          <w:sz w:val="20"/>
          <w:szCs w:val="20"/>
        </w:rPr>
      </w:pPr>
      <w:r w:rsidRPr="002C3917">
        <w:rPr>
          <w:rFonts w:ascii="Arial" w:hAnsi="Arial" w:cs="Arial"/>
          <w:sz w:val="20"/>
          <w:szCs w:val="20"/>
        </w:rPr>
        <w:t>The development of this regulatory framework begins with a multi-stakeholder engagement process. Government entities such as the Ministry of Economy and Commerce (</w:t>
      </w:r>
      <w:proofErr w:type="spellStart"/>
      <w:r w:rsidRPr="002C3917">
        <w:rPr>
          <w:rFonts w:ascii="Arial" w:hAnsi="Arial" w:cs="Arial"/>
          <w:sz w:val="20"/>
          <w:szCs w:val="20"/>
        </w:rPr>
        <w:t>MoE</w:t>
      </w:r>
      <w:r w:rsidR="004A3C52" w:rsidRPr="002C3917">
        <w:rPr>
          <w:rFonts w:ascii="Arial" w:hAnsi="Arial" w:cs="Arial"/>
          <w:sz w:val="20"/>
          <w:szCs w:val="20"/>
        </w:rPr>
        <w:t>c</w:t>
      </w:r>
      <w:proofErr w:type="spellEnd"/>
      <w:r w:rsidRPr="002C3917">
        <w:rPr>
          <w:rFonts w:ascii="Arial" w:hAnsi="Arial" w:cs="Arial"/>
          <w:sz w:val="20"/>
          <w:szCs w:val="20"/>
        </w:rPr>
        <w:t>), State Customs Service and the State Tax Service, and sectoral business associations are pivotal collaborators. To align the Green Taxonomy with practical sectoral requirements, the activity includes an in-depth diagnostic phase. This involves analyzing priority sectors</w:t>
      </w:r>
      <w:r w:rsidR="00640487" w:rsidRPr="002C3917">
        <w:rPr>
          <w:rFonts w:ascii="Arial" w:hAnsi="Arial" w:cs="Arial"/>
          <w:sz w:val="20"/>
          <w:szCs w:val="20"/>
        </w:rPr>
        <w:t xml:space="preserve"> </w:t>
      </w:r>
      <w:r w:rsidRPr="002C3917">
        <w:rPr>
          <w:rFonts w:ascii="Arial" w:hAnsi="Arial" w:cs="Arial"/>
          <w:sz w:val="20"/>
          <w:szCs w:val="20"/>
        </w:rPr>
        <w:t>—</w:t>
      </w:r>
      <w:r w:rsidR="00640487" w:rsidRPr="002C3917">
        <w:rPr>
          <w:rFonts w:ascii="Arial" w:hAnsi="Arial" w:cs="Arial"/>
          <w:sz w:val="20"/>
          <w:szCs w:val="20"/>
        </w:rPr>
        <w:t xml:space="preserve"> </w:t>
      </w:r>
      <w:r w:rsidRPr="002C3917">
        <w:rPr>
          <w:rFonts w:ascii="Arial" w:hAnsi="Arial" w:cs="Arial"/>
          <w:sz w:val="20"/>
          <w:szCs w:val="20"/>
        </w:rPr>
        <w:t xml:space="preserve">such as renewable energy, energy efficiency, sustainable agriculture, sustainable transport, waste management, etc. — to identify their specific regulatory and operational needs. Building on this </w:t>
      </w:r>
      <w:r w:rsidRPr="002C3917">
        <w:rPr>
          <w:rFonts w:ascii="Arial" w:hAnsi="Arial" w:cs="Arial"/>
          <w:sz w:val="20"/>
          <w:szCs w:val="20"/>
        </w:rPr>
        <w:lastRenderedPageBreak/>
        <w:t>analysis, the framework will establish sector-specific bylaws and guidelines that provide precise criteria for classifying green technologies.</w:t>
      </w:r>
      <w:r w:rsidR="00BA2916" w:rsidRPr="002C3917">
        <w:rPr>
          <w:rFonts w:ascii="Arial" w:hAnsi="Arial" w:cs="Arial"/>
          <w:sz w:val="20"/>
          <w:szCs w:val="20"/>
        </w:rPr>
        <w:t xml:space="preserve"> </w:t>
      </w:r>
    </w:p>
    <w:p w14:paraId="5A52FA7E" w14:textId="77777777" w:rsidR="002C3917" w:rsidRPr="002C3917" w:rsidRDefault="002C3917" w:rsidP="002C3917">
      <w:pPr>
        <w:pStyle w:val="ListParagraph"/>
        <w:rPr>
          <w:rFonts w:ascii="Arial" w:hAnsi="Arial" w:cs="Arial"/>
          <w:sz w:val="20"/>
          <w:szCs w:val="20"/>
        </w:rPr>
      </w:pPr>
    </w:p>
    <w:p w14:paraId="0C750DB2" w14:textId="77777777" w:rsidR="002C3917" w:rsidRDefault="00B71F1D">
      <w:pPr>
        <w:pStyle w:val="ListParagraph"/>
        <w:numPr>
          <w:ilvl w:val="0"/>
          <w:numId w:val="29"/>
        </w:numPr>
        <w:spacing w:line="278" w:lineRule="auto"/>
        <w:jc w:val="both"/>
        <w:rPr>
          <w:rFonts w:ascii="Arial" w:hAnsi="Arial" w:cs="Arial"/>
          <w:sz w:val="20"/>
          <w:szCs w:val="20"/>
        </w:rPr>
      </w:pPr>
      <w:r w:rsidRPr="002C3917">
        <w:rPr>
          <w:rFonts w:ascii="Arial" w:hAnsi="Arial" w:cs="Arial"/>
          <w:sz w:val="20"/>
          <w:szCs w:val="20"/>
        </w:rPr>
        <w:t>Stakeholder engagement is integral throughout the development process. Draft regulatory instruments will be shared in workshops and consultation sessions, ensuring inclusivity and iterative refinement. Feedback from these sessions will inform revisions, allowing for a final regulatory framework that is both sector-specific and operationally viable. The finalized framework will be disseminated through workshops, publications, and targeted training sessions. This dissemination strategy will not only raise awareness but also build the capacity of stakeholders to implement and comply with the taxonomy-driven regulations. The resulting sectoral regulatory framework will provide a comprehensive, scientifically grounded foundation for integrating the Green Taxonomy into key targeted sectors. By bridging the regulatory gap, this activity will catalyze a transformative shift in Kyrgyzstan’s financial ecosystem, fostering an enabling environment for green investments and advancing the nation’s climate and development objectives.</w:t>
      </w:r>
    </w:p>
    <w:p w14:paraId="019B13F9" w14:textId="77777777" w:rsidR="002C3917" w:rsidRPr="002C3917" w:rsidRDefault="002C3917" w:rsidP="002C3917">
      <w:pPr>
        <w:pStyle w:val="ListParagraph"/>
        <w:rPr>
          <w:rFonts w:ascii="Arial" w:hAnsi="Arial" w:cs="Arial"/>
          <w:sz w:val="20"/>
          <w:szCs w:val="20"/>
        </w:rPr>
      </w:pPr>
    </w:p>
    <w:p w14:paraId="68DFD12E" w14:textId="61AA20DE" w:rsidR="00B71F1D" w:rsidRDefault="00B71F1D">
      <w:pPr>
        <w:pStyle w:val="ListParagraph"/>
        <w:numPr>
          <w:ilvl w:val="0"/>
          <w:numId w:val="29"/>
        </w:numPr>
        <w:spacing w:line="278" w:lineRule="auto"/>
        <w:jc w:val="both"/>
        <w:rPr>
          <w:rFonts w:ascii="Arial" w:hAnsi="Arial" w:cs="Arial"/>
          <w:sz w:val="20"/>
          <w:szCs w:val="20"/>
        </w:rPr>
      </w:pPr>
      <w:r w:rsidRPr="00811349">
        <w:rPr>
          <w:rFonts w:ascii="Arial" w:hAnsi="Arial" w:cs="Arial"/>
          <w:b/>
          <w:bCs/>
          <w:sz w:val="20"/>
          <w:szCs w:val="20"/>
        </w:rPr>
        <w:t>The second output also focuses on the development of regulatory incentives to promote green lending (Activity 2.2.6.1.b).</w:t>
      </w:r>
      <w:r w:rsidRPr="002C3917">
        <w:rPr>
          <w:rFonts w:ascii="Arial" w:hAnsi="Arial" w:cs="Arial"/>
          <w:sz w:val="20"/>
          <w:szCs w:val="20"/>
        </w:rPr>
        <w:t xml:space="preserve"> Currently, the </w:t>
      </w:r>
      <w:r w:rsidR="00684710" w:rsidRPr="002C3917">
        <w:rPr>
          <w:rFonts w:ascii="Arial" w:hAnsi="Arial" w:cs="Arial"/>
          <w:sz w:val="20"/>
          <w:szCs w:val="20"/>
        </w:rPr>
        <w:t>g</w:t>
      </w:r>
      <w:r w:rsidRPr="002C3917">
        <w:rPr>
          <w:rFonts w:ascii="Arial" w:hAnsi="Arial" w:cs="Arial"/>
          <w:sz w:val="20"/>
          <w:szCs w:val="20"/>
        </w:rPr>
        <w:t xml:space="preserve">overnment has been practicing fiscal incentives only to entrepreneurs, and consumers utilizing green technologies in energy efficiency, renewables and e-mobility, while the financial sector has been left unincentivized towards supplying green finance to the market. </w:t>
      </w:r>
      <w:r w:rsidR="00AB1E1A" w:rsidRPr="00AB1E1A">
        <w:rPr>
          <w:rFonts w:ascii="Arial" w:hAnsi="Arial" w:cs="Arial"/>
          <w:sz w:val="20"/>
          <w:szCs w:val="20"/>
        </w:rPr>
        <w:t xml:space="preserve">In the context of climate change adaptation, green lending plays a vital role in financing initiatives that enhance resilience to climate impacts while protecting ecosystems and livelihoods. </w:t>
      </w:r>
      <w:r w:rsidRPr="002C3917">
        <w:rPr>
          <w:rFonts w:ascii="Arial" w:hAnsi="Arial" w:cs="Arial"/>
          <w:sz w:val="20"/>
          <w:szCs w:val="20"/>
        </w:rPr>
        <w:t>The Activity will begin with a comprehensive review of existing global practices in applying regulatory incentives for green finance, identifying those most suitable for the Kyrgyz context. These could include measures such as eased prudential requirements, discounted SWAPs, or other innovative financial tools designed to reduce risks and enhance the affordability of green lending.</w:t>
      </w:r>
    </w:p>
    <w:p w14:paraId="33C41313" w14:textId="77777777" w:rsidR="00AA09B7" w:rsidRPr="00AA09B7" w:rsidRDefault="00AA09B7" w:rsidP="00AA09B7">
      <w:pPr>
        <w:pStyle w:val="ListParagraph"/>
        <w:rPr>
          <w:rFonts w:ascii="Arial" w:hAnsi="Arial" w:cs="Arial"/>
          <w:sz w:val="20"/>
          <w:szCs w:val="20"/>
        </w:rPr>
      </w:pPr>
    </w:p>
    <w:p w14:paraId="6901F2E9" w14:textId="35F44190" w:rsidR="00B71F1D" w:rsidRDefault="00B71F1D">
      <w:pPr>
        <w:pStyle w:val="ListParagraph"/>
        <w:numPr>
          <w:ilvl w:val="0"/>
          <w:numId w:val="29"/>
        </w:numPr>
        <w:spacing w:line="278" w:lineRule="auto"/>
        <w:jc w:val="both"/>
        <w:rPr>
          <w:rFonts w:ascii="Arial" w:hAnsi="Arial" w:cs="Arial"/>
          <w:sz w:val="20"/>
          <w:szCs w:val="20"/>
        </w:rPr>
      </w:pPr>
      <w:r w:rsidRPr="00CA6F54">
        <w:rPr>
          <w:rFonts w:ascii="Arial" w:hAnsi="Arial" w:cs="Arial"/>
          <w:sz w:val="20"/>
          <w:szCs w:val="20"/>
        </w:rPr>
        <w:t>Following this review, the project will develop a business case for selected options to incentivize green lending in Kyrgyzstan. This will include modeling a few typical projects to determine their specific support needs, such as de-risking mechanisms and affordability improvements (</w:t>
      </w:r>
      <w:r w:rsidRPr="00CA6F54">
        <w:rPr>
          <w:rFonts w:ascii="Arial" w:hAnsi="Arial" w:cs="Arial"/>
          <w:b/>
          <w:bCs/>
          <w:sz w:val="20"/>
          <w:szCs w:val="20"/>
        </w:rPr>
        <w:t xml:space="preserve">Activity </w:t>
      </w:r>
      <w:r w:rsidRPr="00CA1FF2">
        <w:rPr>
          <w:rFonts w:ascii="Arial" w:hAnsi="Arial" w:cs="Arial"/>
          <w:b/>
          <w:bCs/>
          <w:sz w:val="20"/>
          <w:szCs w:val="20"/>
        </w:rPr>
        <w:t>2.2.6.1.b).</w:t>
      </w:r>
      <w:r w:rsidRPr="00CA1FF2">
        <w:rPr>
          <w:rFonts w:ascii="Arial" w:hAnsi="Arial" w:cs="Arial"/>
          <w:sz w:val="20"/>
          <w:szCs w:val="20"/>
        </w:rPr>
        <w:t xml:space="preserve"> The business case will serve as a practical roadmap for implementing green finance incentives, demonstrating their viability and impact on expanding green finance </w:t>
      </w:r>
      <w:r w:rsidR="00FA0CF3" w:rsidRPr="00CA1FF2">
        <w:rPr>
          <w:rFonts w:ascii="Arial" w:hAnsi="Arial" w:cs="Arial"/>
          <w:sz w:val="20"/>
          <w:szCs w:val="20"/>
        </w:rPr>
        <w:t xml:space="preserve">activities. </w:t>
      </w:r>
      <w:r w:rsidR="00CA2DFD" w:rsidRPr="00CA1FF2">
        <w:rPr>
          <w:rFonts w:ascii="Arial" w:hAnsi="Arial" w:cs="Arial"/>
          <w:sz w:val="20"/>
          <w:szCs w:val="20"/>
        </w:rPr>
        <w:t>S</w:t>
      </w:r>
      <w:r w:rsidR="0060100B" w:rsidRPr="00CA1FF2">
        <w:rPr>
          <w:rFonts w:ascii="Arial" w:hAnsi="Arial" w:cs="Arial"/>
          <w:sz w:val="20"/>
          <w:szCs w:val="20"/>
        </w:rPr>
        <w:t xml:space="preserve">pecific attention </w:t>
      </w:r>
      <w:r w:rsidR="00CA2DFD" w:rsidRPr="00CA1FF2">
        <w:rPr>
          <w:rFonts w:ascii="Arial" w:hAnsi="Arial" w:cs="Arial"/>
          <w:sz w:val="20"/>
          <w:szCs w:val="20"/>
        </w:rPr>
        <w:t xml:space="preserve">will be given </w:t>
      </w:r>
      <w:r w:rsidR="0060100B" w:rsidRPr="00CA1FF2">
        <w:rPr>
          <w:rFonts w:ascii="Arial" w:hAnsi="Arial" w:cs="Arial"/>
          <w:sz w:val="20"/>
          <w:szCs w:val="20"/>
        </w:rPr>
        <w:t>to the practical implementation of the Kyrgyzstan’s Green Taxonomy Section 8 on Environmental and social risk management.</w:t>
      </w:r>
      <w:r w:rsidR="00CA2DFD" w:rsidRPr="00CA1FF2">
        <w:rPr>
          <w:rFonts w:ascii="Arial" w:hAnsi="Arial" w:cs="Arial"/>
          <w:sz w:val="20"/>
          <w:szCs w:val="20"/>
        </w:rPr>
        <w:t xml:space="preserve"> </w:t>
      </w:r>
      <w:r w:rsidR="00FA0CF3" w:rsidRPr="00CA1FF2">
        <w:rPr>
          <w:rFonts w:ascii="Arial" w:hAnsi="Arial" w:cs="Arial"/>
          <w:sz w:val="20"/>
          <w:szCs w:val="20"/>
        </w:rPr>
        <w:t>To</w:t>
      </w:r>
      <w:r w:rsidRPr="00CA1FF2">
        <w:rPr>
          <w:rFonts w:ascii="Arial" w:hAnsi="Arial" w:cs="Arial"/>
          <w:sz w:val="20"/>
          <w:szCs w:val="20"/>
        </w:rPr>
        <w:t xml:space="preserve"> ensure buy-in from stakeholders and alignment with national priorities, a workshop will be held to present</w:t>
      </w:r>
      <w:r w:rsidRPr="00CA6F54">
        <w:rPr>
          <w:rFonts w:ascii="Arial" w:hAnsi="Arial" w:cs="Arial"/>
          <w:sz w:val="20"/>
          <w:szCs w:val="20"/>
        </w:rPr>
        <w:t xml:space="preserve"> and discuss these regulatory incentives. Financial institutions, regulators, and key stakeholders will have the opportunity to provide feedback and refine the recommendations, ensuring they are both practical and impactful (Activity 2.2.6.1.b). This collaborative approach will foster a sense of ownership and commitment among all participants, laying the groundwork for successful implementation.</w:t>
      </w:r>
    </w:p>
    <w:p w14:paraId="56AB1F84" w14:textId="77777777" w:rsidR="00CA6F54" w:rsidRPr="00CA6F54" w:rsidRDefault="00CA6F54" w:rsidP="00CA6F54">
      <w:pPr>
        <w:pStyle w:val="ListParagraph"/>
        <w:rPr>
          <w:rFonts w:ascii="Arial" w:hAnsi="Arial" w:cs="Arial"/>
          <w:sz w:val="20"/>
          <w:szCs w:val="20"/>
        </w:rPr>
      </w:pPr>
    </w:p>
    <w:p w14:paraId="0A00AAF5" w14:textId="77777777" w:rsidR="00CA6F54" w:rsidRPr="00CA6F54" w:rsidRDefault="00CA6F54" w:rsidP="00CA6F54">
      <w:pPr>
        <w:pStyle w:val="ListParagraph"/>
        <w:spacing w:line="278" w:lineRule="auto"/>
        <w:ind w:left="360"/>
        <w:jc w:val="both"/>
        <w:rPr>
          <w:rFonts w:ascii="Arial" w:hAnsi="Arial" w:cs="Arial"/>
          <w:sz w:val="20"/>
          <w:szCs w:val="20"/>
        </w:rPr>
      </w:pPr>
    </w:p>
    <w:p w14:paraId="24D827CB" w14:textId="77777777" w:rsidR="00871D28" w:rsidRDefault="00B71F1D">
      <w:pPr>
        <w:pStyle w:val="ListParagraph"/>
        <w:numPr>
          <w:ilvl w:val="0"/>
          <w:numId w:val="29"/>
        </w:numPr>
        <w:spacing w:before="120" w:after="120" w:line="276" w:lineRule="auto"/>
        <w:jc w:val="both"/>
        <w:rPr>
          <w:rFonts w:ascii="Arial" w:hAnsi="Arial" w:cs="Arial"/>
          <w:sz w:val="20"/>
          <w:szCs w:val="20"/>
        </w:rPr>
      </w:pPr>
      <w:r w:rsidRPr="00871D28">
        <w:rPr>
          <w:rFonts w:ascii="Arial" w:hAnsi="Arial" w:cs="Arial"/>
          <w:b/>
          <w:bCs/>
          <w:sz w:val="20"/>
          <w:szCs w:val="20"/>
        </w:rPr>
        <w:t xml:space="preserve">Output 2.4.1. New business models incubated and/or innovative financial mechanisms and schemes created to increase low -emission and climate resilient investment. </w:t>
      </w:r>
      <w:r w:rsidRPr="00871D28">
        <w:rPr>
          <w:rFonts w:ascii="Arial" w:hAnsi="Arial" w:cs="Arial"/>
          <w:sz w:val="20"/>
          <w:szCs w:val="20"/>
        </w:rPr>
        <w:t xml:space="preserve">To advance low-emission and climate-resilient investments in Kyrgyzstan, </w:t>
      </w:r>
      <w:r w:rsidRPr="00871D28">
        <w:rPr>
          <w:rFonts w:ascii="Arial" w:hAnsi="Arial" w:cs="Arial"/>
          <w:b/>
          <w:bCs/>
          <w:sz w:val="20"/>
          <w:szCs w:val="20"/>
        </w:rPr>
        <w:t>Output 2.4.1</w:t>
      </w:r>
      <w:r w:rsidRPr="00871D28">
        <w:rPr>
          <w:rFonts w:ascii="Arial" w:hAnsi="Arial" w:cs="Arial"/>
          <w:sz w:val="20"/>
          <w:szCs w:val="20"/>
        </w:rPr>
        <w:t xml:space="preserve"> will pilot innovative financial products and mechanisms aligned with climate change </w:t>
      </w:r>
      <w:r w:rsidR="00FA0CF3" w:rsidRPr="00871D28">
        <w:rPr>
          <w:rFonts w:ascii="Arial" w:hAnsi="Arial" w:cs="Arial"/>
          <w:sz w:val="20"/>
          <w:szCs w:val="20"/>
        </w:rPr>
        <w:t>priorities of the country like the NDC</w:t>
      </w:r>
      <w:r w:rsidR="000C2EDE" w:rsidRPr="00871D28">
        <w:rPr>
          <w:rFonts w:ascii="Arial" w:hAnsi="Arial" w:cs="Arial"/>
          <w:sz w:val="20"/>
          <w:szCs w:val="20"/>
        </w:rPr>
        <w:t>, NAP, etc.</w:t>
      </w:r>
      <w:r w:rsidR="00FA0CF3" w:rsidRPr="00871D28">
        <w:rPr>
          <w:rFonts w:ascii="Arial" w:hAnsi="Arial" w:cs="Arial"/>
          <w:sz w:val="20"/>
          <w:szCs w:val="20"/>
        </w:rPr>
        <w:t>.</w:t>
      </w:r>
      <w:r w:rsidRPr="00871D28">
        <w:rPr>
          <w:rFonts w:ascii="Arial" w:hAnsi="Arial" w:cs="Arial"/>
          <w:sz w:val="20"/>
          <w:szCs w:val="20"/>
        </w:rPr>
        <w:t xml:space="preserve"> This initiative directly addresses </w:t>
      </w:r>
      <w:r w:rsidRPr="00871D28">
        <w:rPr>
          <w:rFonts w:ascii="Arial" w:hAnsi="Arial" w:cs="Arial"/>
          <w:b/>
          <w:bCs/>
          <w:sz w:val="20"/>
          <w:szCs w:val="20"/>
        </w:rPr>
        <w:t xml:space="preserve">Barrier 3: </w:t>
      </w:r>
      <w:r w:rsidRPr="00871D28">
        <w:rPr>
          <w:rFonts w:ascii="Arial" w:hAnsi="Arial" w:cs="Arial"/>
          <w:sz w:val="20"/>
          <w:szCs w:val="20"/>
        </w:rPr>
        <w:t xml:space="preserve">the discrepancy between the supply and demand for green finance. While the financial sector has introduced some green financial products, their uptake remains limited due to the specific design requirements of such products. These include not only standard financial expertise but also considerations for the higher costs associated with adopting green technologies and other transactional expenses that exceed traditional financing models. Strengthening the capacity of both financial institutions and potential </w:t>
      </w:r>
      <w:r w:rsidRPr="00871D28">
        <w:rPr>
          <w:rFonts w:ascii="Arial" w:hAnsi="Arial" w:cs="Arial"/>
          <w:sz w:val="20"/>
          <w:szCs w:val="20"/>
        </w:rPr>
        <w:lastRenderedPageBreak/>
        <w:t>borrowers will help align the supply of and demand for green finance, fostering a more responsive and inclusive green finance market.</w:t>
      </w:r>
    </w:p>
    <w:p w14:paraId="7E5961AA" w14:textId="77777777" w:rsidR="00871D28" w:rsidRDefault="00871D28" w:rsidP="00871D28">
      <w:pPr>
        <w:pStyle w:val="ListParagraph"/>
        <w:spacing w:before="120" w:after="120" w:line="276" w:lineRule="auto"/>
        <w:ind w:left="360"/>
        <w:jc w:val="both"/>
        <w:rPr>
          <w:rFonts w:ascii="Arial" w:hAnsi="Arial" w:cs="Arial"/>
          <w:sz w:val="20"/>
          <w:szCs w:val="20"/>
        </w:rPr>
      </w:pPr>
    </w:p>
    <w:p w14:paraId="17C6BE19" w14:textId="434C6126" w:rsidR="00871D28" w:rsidRPr="00624F7D" w:rsidRDefault="00B71F1D" w:rsidP="00624F7D">
      <w:pPr>
        <w:pStyle w:val="ListParagraph"/>
        <w:numPr>
          <w:ilvl w:val="0"/>
          <w:numId w:val="29"/>
        </w:numPr>
        <w:spacing w:before="120" w:after="120" w:line="276" w:lineRule="auto"/>
        <w:jc w:val="both"/>
        <w:rPr>
          <w:rFonts w:ascii="Arial" w:hAnsi="Arial" w:cs="Arial"/>
          <w:sz w:val="20"/>
          <w:szCs w:val="20"/>
        </w:rPr>
      </w:pPr>
      <w:r w:rsidRPr="00624F7D">
        <w:rPr>
          <w:rFonts w:ascii="Arial" w:hAnsi="Arial" w:cs="Arial"/>
          <w:sz w:val="20"/>
          <w:szCs w:val="20"/>
        </w:rPr>
        <w:t xml:space="preserve">The activity begins with the development of three feasibility studies </w:t>
      </w:r>
      <w:r w:rsidRPr="00624F7D">
        <w:rPr>
          <w:rFonts w:ascii="Arial" w:hAnsi="Arial" w:cs="Arial"/>
          <w:b/>
          <w:bCs/>
          <w:sz w:val="20"/>
          <w:szCs w:val="20"/>
        </w:rPr>
        <w:t>(Activity 2.4.1.1.a),</w:t>
      </w:r>
      <w:r w:rsidRPr="00624F7D">
        <w:rPr>
          <w:rFonts w:ascii="Arial" w:hAnsi="Arial" w:cs="Arial"/>
          <w:sz w:val="20"/>
          <w:szCs w:val="20"/>
        </w:rPr>
        <w:t xml:space="preserve"> including one financial product for the State Development Bank (SDB) and two for commercial financial institutions. These feasibility studies will include a comprehensive economic analysis and modeling of expected typical green financial products. Predictive analyses will evaluate risks and mitigation measures, ensuring the products are optimized for profitability while minimizing costs for both final users and financial institutions. </w:t>
      </w:r>
      <w:r w:rsidR="00624F7D" w:rsidRPr="00624F7D">
        <w:rPr>
          <w:rFonts w:ascii="Arial" w:hAnsi="Arial" w:cs="Arial"/>
          <w:sz w:val="20"/>
          <w:szCs w:val="20"/>
        </w:rPr>
        <w:t>The project will engage with Private Sector Facility (PSF) of the GCF Secretariat, including requesting PSF assistance in designing de-risking measures for the private investments scaling up and directing the private sector investment flows to low-carbon climate-resilient development, also exploring the PSF experiences in 2 neighbor countries – Tajikistan and Kazakhstan</w:t>
      </w:r>
      <w:r w:rsidR="0010052D">
        <w:rPr>
          <w:rFonts w:ascii="Arial" w:hAnsi="Arial" w:cs="Arial"/>
          <w:sz w:val="20"/>
          <w:szCs w:val="20"/>
        </w:rPr>
        <w:t>,</w:t>
      </w:r>
      <w:r w:rsidR="00624F7D" w:rsidRPr="00624F7D">
        <w:rPr>
          <w:rFonts w:ascii="Arial" w:hAnsi="Arial" w:cs="Arial"/>
          <w:sz w:val="20"/>
          <w:szCs w:val="20"/>
        </w:rPr>
        <w:t xml:space="preserve"> and PSF </w:t>
      </w:r>
      <w:r w:rsidR="0010052D">
        <w:rPr>
          <w:rFonts w:ascii="Arial" w:hAnsi="Arial" w:cs="Arial"/>
          <w:sz w:val="20"/>
          <w:szCs w:val="20"/>
        </w:rPr>
        <w:t xml:space="preserve">experience </w:t>
      </w:r>
      <w:r w:rsidR="00624F7D" w:rsidRPr="00624F7D">
        <w:rPr>
          <w:rFonts w:ascii="Arial" w:hAnsi="Arial" w:cs="Arial"/>
          <w:sz w:val="20"/>
          <w:szCs w:val="20"/>
        </w:rPr>
        <w:t>applying its financial instrument toolbox (loans, equity, guarantees and grants)</w:t>
      </w:r>
      <w:r w:rsidR="0010052D">
        <w:rPr>
          <w:rFonts w:ascii="Arial" w:hAnsi="Arial" w:cs="Arial"/>
          <w:sz w:val="20"/>
          <w:szCs w:val="20"/>
        </w:rPr>
        <w:t xml:space="preserve">; the primary focus of the project requesting an online consultation from the PSF will be </w:t>
      </w:r>
      <w:r w:rsidR="00624F7D" w:rsidRPr="00624F7D">
        <w:rPr>
          <w:rFonts w:ascii="Arial" w:hAnsi="Arial" w:cs="Arial"/>
          <w:sz w:val="20"/>
          <w:szCs w:val="20"/>
        </w:rPr>
        <w:t>to receive guidance on cooperation with the banking industry in Kyrgyzstan, and other potential opportunities and green investment options in Kyrgyzstan</w:t>
      </w:r>
      <w:r w:rsidR="0010052D">
        <w:rPr>
          <w:rFonts w:ascii="Arial" w:hAnsi="Arial" w:cs="Arial"/>
          <w:sz w:val="20"/>
          <w:szCs w:val="20"/>
        </w:rPr>
        <w:t>.</w:t>
      </w:r>
      <w:r w:rsidR="00871D28" w:rsidRPr="00624F7D">
        <w:rPr>
          <w:rFonts w:ascii="Arial" w:hAnsi="Arial" w:cs="Arial"/>
          <w:sz w:val="20"/>
          <w:szCs w:val="20"/>
        </w:rPr>
        <w:t xml:space="preserve"> </w:t>
      </w:r>
      <w:r w:rsidRPr="00624F7D">
        <w:rPr>
          <w:rFonts w:ascii="Arial" w:hAnsi="Arial" w:cs="Arial"/>
          <w:sz w:val="20"/>
          <w:szCs w:val="20"/>
        </w:rPr>
        <w:t xml:space="preserve">Following the feasibility studies, three pilot projects will be launched to demonstrate the applicability and bankability of these financial products. Each pilot will support several borrowers throughout the project lifecycle, from proposal development and compliance checks with the Green Taxonomy to the issuance of green credit. This hands-on process will involve close collaboration between borrowers and financial institutions, embedding learning opportunities into every stage. Pilot projects will undergo evaluations for their economic viability, mitigation and adaptation potential, and compliance with </w:t>
      </w:r>
      <w:r w:rsidR="00DE79BC" w:rsidRPr="00624F7D">
        <w:rPr>
          <w:rFonts w:ascii="Arial" w:hAnsi="Arial" w:cs="Arial"/>
          <w:sz w:val="20"/>
          <w:szCs w:val="20"/>
        </w:rPr>
        <w:t xml:space="preserve">the UNDP </w:t>
      </w:r>
      <w:r w:rsidR="0078005E" w:rsidRPr="00624F7D">
        <w:rPr>
          <w:rFonts w:ascii="Arial" w:hAnsi="Arial" w:cs="Arial"/>
          <w:sz w:val="20"/>
          <w:szCs w:val="20"/>
        </w:rPr>
        <w:t>Social and Environmental Standards</w:t>
      </w:r>
      <w:r w:rsidRPr="00624F7D">
        <w:rPr>
          <w:rFonts w:ascii="Arial" w:hAnsi="Arial" w:cs="Arial"/>
          <w:sz w:val="20"/>
          <w:szCs w:val="20"/>
        </w:rPr>
        <w:t>, ensuring they serve as robust models for future green investments.</w:t>
      </w:r>
    </w:p>
    <w:p w14:paraId="09D4468E" w14:textId="77777777" w:rsidR="00871D28" w:rsidRDefault="00871D28" w:rsidP="00871D28">
      <w:pPr>
        <w:pStyle w:val="ListParagraph"/>
        <w:spacing w:before="120" w:after="120" w:line="276" w:lineRule="auto"/>
        <w:ind w:left="360"/>
        <w:jc w:val="both"/>
        <w:rPr>
          <w:rFonts w:ascii="Arial" w:hAnsi="Arial" w:cs="Arial"/>
          <w:sz w:val="20"/>
          <w:szCs w:val="20"/>
        </w:rPr>
      </w:pPr>
    </w:p>
    <w:p w14:paraId="65DEEEF1" w14:textId="7F666F3F" w:rsidR="00B71F1D" w:rsidRDefault="00B71F1D">
      <w:pPr>
        <w:pStyle w:val="ListParagraph"/>
        <w:numPr>
          <w:ilvl w:val="0"/>
          <w:numId w:val="29"/>
        </w:numPr>
        <w:spacing w:before="120" w:after="120" w:line="276" w:lineRule="auto"/>
        <w:jc w:val="both"/>
        <w:rPr>
          <w:rFonts w:ascii="Arial" w:hAnsi="Arial" w:cs="Arial"/>
          <w:sz w:val="20"/>
          <w:szCs w:val="20"/>
        </w:rPr>
      </w:pPr>
      <w:r w:rsidRPr="00871D28">
        <w:rPr>
          <w:rFonts w:ascii="Arial" w:hAnsi="Arial" w:cs="Arial"/>
          <w:sz w:val="20"/>
          <w:szCs w:val="20"/>
        </w:rPr>
        <w:t xml:space="preserve">Capacity-building activities are integral to the success of this output. Staff from both the front-end and back-end operations of the targeted </w:t>
      </w:r>
      <w:r w:rsidR="0099743D" w:rsidRPr="00871D28">
        <w:rPr>
          <w:rFonts w:ascii="Arial" w:hAnsi="Arial" w:cs="Arial"/>
          <w:sz w:val="20"/>
          <w:szCs w:val="20"/>
        </w:rPr>
        <w:t>financial institution</w:t>
      </w:r>
      <w:r w:rsidRPr="00871D28">
        <w:rPr>
          <w:rFonts w:ascii="Arial" w:hAnsi="Arial" w:cs="Arial"/>
          <w:sz w:val="20"/>
          <w:szCs w:val="20"/>
        </w:rPr>
        <w:t xml:space="preserve">s will be trained on the intricacies of the newly developed products. Three sets of training materials will be developed, capturing lessons learned and providing actionable insights for the broader financial community. Workshops and on-the-job training will deepen the understanding of green finance mechanisms among </w:t>
      </w:r>
      <w:r w:rsidR="00F25918" w:rsidRPr="00871D28">
        <w:rPr>
          <w:rFonts w:ascii="Arial" w:hAnsi="Arial" w:cs="Arial"/>
          <w:sz w:val="20"/>
          <w:szCs w:val="20"/>
        </w:rPr>
        <w:t>financial institutions’</w:t>
      </w:r>
      <w:r w:rsidRPr="00871D28">
        <w:rPr>
          <w:rFonts w:ascii="Arial" w:hAnsi="Arial" w:cs="Arial"/>
          <w:sz w:val="20"/>
          <w:szCs w:val="20"/>
        </w:rPr>
        <w:t xml:space="preserve"> staff, enabling them to manage these products effectively and sustainably. Video recordings of the sessions will further institutionalize the knowledge, ensuring its dissemination across the sector.</w:t>
      </w:r>
    </w:p>
    <w:p w14:paraId="5E9A7F33" w14:textId="77777777" w:rsidR="00871D28" w:rsidRPr="00871D28" w:rsidRDefault="00871D28" w:rsidP="00871D28">
      <w:pPr>
        <w:pStyle w:val="ListParagraph"/>
        <w:rPr>
          <w:rFonts w:ascii="Arial" w:hAnsi="Arial" w:cs="Arial"/>
          <w:sz w:val="20"/>
          <w:szCs w:val="20"/>
        </w:rPr>
      </w:pPr>
    </w:p>
    <w:p w14:paraId="5EFA5C0D" w14:textId="77777777" w:rsidR="00A07295" w:rsidRDefault="00B71F1D">
      <w:pPr>
        <w:pStyle w:val="ListParagraph"/>
        <w:numPr>
          <w:ilvl w:val="0"/>
          <w:numId w:val="29"/>
        </w:numPr>
        <w:spacing w:before="120" w:after="120" w:line="276" w:lineRule="auto"/>
        <w:jc w:val="both"/>
        <w:rPr>
          <w:rFonts w:ascii="Arial" w:hAnsi="Arial" w:cs="Arial"/>
          <w:sz w:val="20"/>
          <w:szCs w:val="20"/>
        </w:rPr>
      </w:pPr>
      <w:r w:rsidRPr="00A07295">
        <w:rPr>
          <w:rFonts w:ascii="Arial" w:hAnsi="Arial" w:cs="Arial"/>
          <w:b/>
          <w:bCs/>
          <w:sz w:val="20"/>
          <w:szCs w:val="20"/>
        </w:rPr>
        <w:t>Output 4.1.1. Concept notes for priority sectors developed with the support of the RPSP for submission to the GCF.</w:t>
      </w:r>
      <w:r w:rsidR="00A07295" w:rsidRPr="00A07295">
        <w:rPr>
          <w:rFonts w:ascii="Arial" w:hAnsi="Arial" w:cs="Arial"/>
          <w:b/>
          <w:bCs/>
          <w:sz w:val="20"/>
          <w:szCs w:val="20"/>
        </w:rPr>
        <w:t xml:space="preserve"> </w:t>
      </w:r>
      <w:r w:rsidRPr="00A07295">
        <w:rPr>
          <w:rFonts w:ascii="Arial" w:hAnsi="Arial" w:cs="Arial"/>
          <w:sz w:val="20"/>
          <w:szCs w:val="20"/>
        </w:rPr>
        <w:t xml:space="preserve">To strengthen Kyrgyzstan’s capacity to attract and utilize international climate finance effectively, </w:t>
      </w:r>
      <w:r w:rsidRPr="00A07295">
        <w:rPr>
          <w:rFonts w:ascii="Arial" w:hAnsi="Arial" w:cs="Arial"/>
          <w:b/>
          <w:bCs/>
          <w:sz w:val="20"/>
          <w:szCs w:val="20"/>
        </w:rPr>
        <w:t>Output 4.1.1</w:t>
      </w:r>
      <w:r w:rsidRPr="00A07295">
        <w:rPr>
          <w:rFonts w:ascii="Arial" w:hAnsi="Arial" w:cs="Arial"/>
          <w:sz w:val="20"/>
          <w:szCs w:val="20"/>
        </w:rPr>
        <w:t xml:space="preserve"> focuses on developing high-quality concept note(s) for priority sector(s) aligned with the country’s climate and development goals. This activity addresses </w:t>
      </w:r>
      <w:r w:rsidRPr="00A07295">
        <w:rPr>
          <w:rFonts w:ascii="Arial" w:hAnsi="Arial" w:cs="Arial"/>
          <w:b/>
          <w:bCs/>
          <w:sz w:val="20"/>
          <w:szCs w:val="20"/>
        </w:rPr>
        <w:t xml:space="preserve">Barrier 5: </w:t>
      </w:r>
      <w:r w:rsidRPr="00A07295">
        <w:rPr>
          <w:rFonts w:ascii="Arial" w:hAnsi="Arial" w:cs="Arial"/>
          <w:sz w:val="20"/>
          <w:szCs w:val="20"/>
        </w:rPr>
        <w:t>Limited knowledge and capacity of national institutions to access green finance, positioning Kyrgyzstan’s financial and institutional stakeholders to engage more effectively with the Green Climate Fund (GCF).</w:t>
      </w:r>
    </w:p>
    <w:p w14:paraId="45AA4E84" w14:textId="77777777" w:rsidR="00A07295" w:rsidRPr="00A07295" w:rsidRDefault="00A07295" w:rsidP="00A07295">
      <w:pPr>
        <w:pStyle w:val="ListParagraph"/>
        <w:rPr>
          <w:rFonts w:ascii="Arial" w:hAnsi="Arial" w:cs="Arial"/>
          <w:sz w:val="20"/>
          <w:szCs w:val="20"/>
        </w:rPr>
      </w:pPr>
    </w:p>
    <w:p w14:paraId="3EECC63E" w14:textId="77777777" w:rsidR="007227EA" w:rsidRDefault="00B71F1D">
      <w:pPr>
        <w:pStyle w:val="ListParagraph"/>
        <w:numPr>
          <w:ilvl w:val="0"/>
          <w:numId w:val="29"/>
        </w:numPr>
        <w:spacing w:before="120" w:after="120" w:line="276" w:lineRule="auto"/>
        <w:jc w:val="both"/>
        <w:rPr>
          <w:rFonts w:ascii="Arial" w:hAnsi="Arial" w:cs="Arial"/>
          <w:sz w:val="20"/>
          <w:szCs w:val="20"/>
        </w:rPr>
      </w:pPr>
      <w:r w:rsidRPr="007227EA">
        <w:rPr>
          <w:rFonts w:ascii="Arial" w:hAnsi="Arial" w:cs="Arial"/>
          <w:sz w:val="20"/>
          <w:szCs w:val="20"/>
        </w:rPr>
        <w:t xml:space="preserve">The initiative begins </w:t>
      </w:r>
      <w:r w:rsidRPr="00CA1FF2">
        <w:rPr>
          <w:rFonts w:ascii="Arial" w:hAnsi="Arial" w:cs="Arial"/>
          <w:sz w:val="20"/>
          <w:szCs w:val="20"/>
        </w:rPr>
        <w:t>with building the capacity of the Climate Finance Center (CFC) to design robust concept notes tailored for private sector participation (Activity 4.1.1.1.a).</w:t>
      </w:r>
      <w:r w:rsidRPr="007227EA">
        <w:rPr>
          <w:rFonts w:ascii="Arial" w:hAnsi="Arial" w:cs="Arial"/>
          <w:sz w:val="20"/>
          <w:szCs w:val="20"/>
        </w:rPr>
        <w:t xml:space="preserve"> This includes specialized training aimed at enhancing the CFC’s technical expertise in structuring projects that meet GCF’s requirements. Currently, CFC has been enhancing its expertise only on projects demanded by the public sector. </w:t>
      </w:r>
    </w:p>
    <w:p w14:paraId="1C7E1A28" w14:textId="77777777" w:rsidR="007227EA" w:rsidRPr="007227EA" w:rsidRDefault="007227EA" w:rsidP="007227EA">
      <w:pPr>
        <w:pStyle w:val="ListParagraph"/>
        <w:rPr>
          <w:rFonts w:ascii="Arial" w:hAnsi="Arial" w:cs="Arial"/>
          <w:sz w:val="20"/>
          <w:szCs w:val="20"/>
        </w:rPr>
      </w:pPr>
    </w:p>
    <w:p w14:paraId="1CFC6FA8" w14:textId="467CB56E" w:rsidR="00B71F1D" w:rsidRDefault="00B71F1D">
      <w:pPr>
        <w:pStyle w:val="ListParagraph"/>
        <w:numPr>
          <w:ilvl w:val="0"/>
          <w:numId w:val="29"/>
        </w:numPr>
        <w:spacing w:before="120" w:after="120" w:line="276" w:lineRule="auto"/>
        <w:jc w:val="both"/>
        <w:rPr>
          <w:rFonts w:ascii="Arial" w:hAnsi="Arial" w:cs="Arial"/>
          <w:sz w:val="20"/>
          <w:szCs w:val="20"/>
        </w:rPr>
      </w:pPr>
      <w:r w:rsidRPr="00043E41">
        <w:rPr>
          <w:rFonts w:ascii="Arial" w:hAnsi="Arial" w:cs="Arial"/>
          <w:sz w:val="20"/>
          <w:szCs w:val="20"/>
        </w:rPr>
        <w:t xml:space="preserve">Simultaneously, the project will support </w:t>
      </w:r>
      <w:proofErr w:type="spellStart"/>
      <w:r w:rsidRPr="00043E41">
        <w:rPr>
          <w:rFonts w:ascii="Arial" w:hAnsi="Arial" w:cs="Arial"/>
          <w:sz w:val="20"/>
          <w:szCs w:val="20"/>
        </w:rPr>
        <w:t>Eldik</w:t>
      </w:r>
      <w:proofErr w:type="spellEnd"/>
      <w:r w:rsidRPr="00043E41">
        <w:rPr>
          <w:rFonts w:ascii="Arial" w:hAnsi="Arial" w:cs="Arial"/>
          <w:sz w:val="20"/>
          <w:szCs w:val="20"/>
        </w:rPr>
        <w:t xml:space="preserve"> Bank, Kyrgyzstan’s candidate for Direct Access Entity (DAE) accreditation to the GCF, in developing a comprehensive concept note </w:t>
      </w:r>
      <w:r w:rsidR="00F25918" w:rsidRPr="00043E41">
        <w:rPr>
          <w:rFonts w:ascii="Arial" w:hAnsi="Arial" w:cs="Arial"/>
          <w:sz w:val="20"/>
          <w:szCs w:val="20"/>
        </w:rPr>
        <w:t xml:space="preserve">for further submission to GCF </w:t>
      </w:r>
      <w:r w:rsidRPr="00043E41">
        <w:rPr>
          <w:rFonts w:ascii="Arial" w:hAnsi="Arial" w:cs="Arial"/>
          <w:sz w:val="20"/>
          <w:szCs w:val="20"/>
        </w:rPr>
        <w:t>(Activity 4.1.1.</w:t>
      </w:r>
      <w:r w:rsidR="00043E41" w:rsidRPr="00043E41">
        <w:rPr>
          <w:rFonts w:ascii="Arial" w:hAnsi="Arial" w:cs="Arial"/>
          <w:sz w:val="20"/>
          <w:szCs w:val="20"/>
        </w:rPr>
        <w:t>1. b</w:t>
      </w:r>
      <w:r w:rsidRPr="00043E41">
        <w:rPr>
          <w:rFonts w:ascii="Arial" w:hAnsi="Arial" w:cs="Arial"/>
          <w:sz w:val="20"/>
          <w:szCs w:val="20"/>
        </w:rPr>
        <w:t xml:space="preserve">). </w:t>
      </w:r>
      <w:proofErr w:type="spellStart"/>
      <w:r w:rsidRPr="00043E41">
        <w:rPr>
          <w:rFonts w:ascii="Arial" w:hAnsi="Arial" w:cs="Arial"/>
          <w:sz w:val="20"/>
          <w:szCs w:val="20"/>
        </w:rPr>
        <w:t>Eldik</w:t>
      </w:r>
      <w:proofErr w:type="spellEnd"/>
      <w:r w:rsidRPr="00043E41">
        <w:rPr>
          <w:rFonts w:ascii="Arial" w:hAnsi="Arial" w:cs="Arial"/>
          <w:sz w:val="20"/>
          <w:szCs w:val="20"/>
        </w:rPr>
        <w:t xml:space="preserve"> Bank’s concept note will focus on scalable projects that showcase the potential for leveraging private sector investments to address the country’s climate challenges.</w:t>
      </w:r>
      <w:r w:rsidR="008E5510">
        <w:rPr>
          <w:rFonts w:ascii="Arial" w:hAnsi="Arial" w:cs="Arial"/>
          <w:sz w:val="20"/>
          <w:szCs w:val="20"/>
        </w:rPr>
        <w:t xml:space="preserve"> </w:t>
      </w:r>
      <w:r w:rsidRPr="00043E41">
        <w:rPr>
          <w:rFonts w:ascii="Arial" w:hAnsi="Arial" w:cs="Arial"/>
          <w:sz w:val="20"/>
          <w:szCs w:val="20"/>
        </w:rPr>
        <w:t xml:space="preserve">To ensure the sustainability and replicability of this effort, the activity will </w:t>
      </w:r>
      <w:r w:rsidRPr="00043E41">
        <w:rPr>
          <w:rFonts w:ascii="Arial" w:hAnsi="Arial" w:cs="Arial"/>
          <w:sz w:val="20"/>
          <w:szCs w:val="20"/>
        </w:rPr>
        <w:lastRenderedPageBreak/>
        <w:t xml:space="preserve">produce a set of training materials and templates that capture the methodology and lessons learned from the concept note(s) formulation process. These resources will be disseminated through </w:t>
      </w:r>
      <w:r w:rsidR="00CA5AA6" w:rsidRPr="00043E41">
        <w:rPr>
          <w:rFonts w:ascii="Arial" w:hAnsi="Arial" w:cs="Arial"/>
          <w:sz w:val="20"/>
          <w:szCs w:val="20"/>
        </w:rPr>
        <w:t xml:space="preserve">a </w:t>
      </w:r>
      <w:r w:rsidRPr="00043E41">
        <w:rPr>
          <w:rFonts w:ascii="Arial" w:hAnsi="Arial" w:cs="Arial"/>
          <w:sz w:val="20"/>
          <w:szCs w:val="20"/>
        </w:rPr>
        <w:t>workshop to build a pipeline of skilled professionals capable of preparing future submissions. Union of Banks of Kyrgyzstan</w:t>
      </w:r>
      <w:r w:rsidRPr="00043E41">
        <w:rPr>
          <w:rFonts w:ascii="Arial" w:hAnsi="Arial" w:cs="Arial"/>
          <w:b/>
          <w:bCs/>
          <w:sz w:val="20"/>
          <w:szCs w:val="20"/>
        </w:rPr>
        <w:t xml:space="preserve"> </w:t>
      </w:r>
      <w:r w:rsidRPr="00043E41">
        <w:rPr>
          <w:rFonts w:ascii="Arial" w:hAnsi="Arial" w:cs="Arial"/>
          <w:sz w:val="20"/>
          <w:szCs w:val="20"/>
        </w:rPr>
        <w:t xml:space="preserve">will </w:t>
      </w:r>
      <w:r w:rsidR="00CA5AA6" w:rsidRPr="00043E41">
        <w:rPr>
          <w:rFonts w:ascii="Arial" w:hAnsi="Arial" w:cs="Arial"/>
          <w:sz w:val="20"/>
          <w:szCs w:val="20"/>
        </w:rPr>
        <w:t xml:space="preserve">utilize generated knowledge under 4.1.1.1.b and further disseminate it </w:t>
      </w:r>
      <w:r w:rsidR="00941D1D" w:rsidRPr="00043E41">
        <w:rPr>
          <w:rFonts w:ascii="Arial" w:hAnsi="Arial" w:cs="Arial"/>
          <w:sz w:val="20"/>
          <w:szCs w:val="20"/>
        </w:rPr>
        <w:t>at its Sustainable Finance Academy</w:t>
      </w:r>
      <w:r w:rsidRPr="00043E41">
        <w:rPr>
          <w:rFonts w:ascii="Arial" w:hAnsi="Arial" w:cs="Arial"/>
          <w:sz w:val="20"/>
          <w:szCs w:val="20"/>
        </w:rPr>
        <w:t xml:space="preserve"> platform.</w:t>
      </w:r>
    </w:p>
    <w:p w14:paraId="6AE4EE0C" w14:textId="77777777" w:rsidR="00E32B50" w:rsidRPr="00E32B50" w:rsidRDefault="00E32B50" w:rsidP="00E32B50">
      <w:pPr>
        <w:pStyle w:val="ListParagraph"/>
        <w:rPr>
          <w:rFonts w:ascii="Arial" w:hAnsi="Arial" w:cs="Arial"/>
          <w:sz w:val="20"/>
          <w:szCs w:val="20"/>
        </w:rPr>
      </w:pPr>
    </w:p>
    <w:p w14:paraId="02329E06" w14:textId="77777777" w:rsidR="00E32B50" w:rsidRPr="00043E41" w:rsidRDefault="00E32B50" w:rsidP="00E32B50">
      <w:pPr>
        <w:pStyle w:val="ListParagraph"/>
        <w:spacing w:before="120" w:after="120" w:line="276" w:lineRule="auto"/>
        <w:ind w:left="360"/>
        <w:jc w:val="both"/>
        <w:rPr>
          <w:rFonts w:ascii="Arial" w:hAnsi="Arial" w:cs="Arial"/>
          <w:sz w:val="20"/>
          <w:szCs w:val="20"/>
        </w:rPr>
      </w:pPr>
    </w:p>
    <w:p w14:paraId="4596CF8C" w14:textId="028CD246" w:rsidR="00B71F1D" w:rsidRDefault="00B71F1D">
      <w:pPr>
        <w:pStyle w:val="ListParagraph"/>
        <w:numPr>
          <w:ilvl w:val="0"/>
          <w:numId w:val="29"/>
        </w:numPr>
        <w:spacing w:line="278" w:lineRule="auto"/>
        <w:jc w:val="both"/>
        <w:rPr>
          <w:rFonts w:ascii="Arial" w:hAnsi="Arial" w:cs="Arial"/>
          <w:sz w:val="20"/>
          <w:szCs w:val="20"/>
        </w:rPr>
      </w:pPr>
      <w:r w:rsidRPr="00E32B50">
        <w:rPr>
          <w:rFonts w:ascii="Arial" w:hAnsi="Arial" w:cs="Arial"/>
          <w:b/>
          <w:bCs/>
          <w:sz w:val="20"/>
          <w:szCs w:val="20"/>
        </w:rPr>
        <w:t xml:space="preserve">Output 5.1.1. / Output 5.1.2. NDAs, DAEs, DPs have developed knowledge products containing information on LECRD, methodologies, lessons </w:t>
      </w:r>
      <w:r w:rsidR="00871D28" w:rsidRPr="00E32B50">
        <w:rPr>
          <w:rFonts w:ascii="Arial" w:hAnsi="Arial" w:cs="Arial"/>
          <w:b/>
          <w:bCs/>
          <w:sz w:val="20"/>
          <w:szCs w:val="20"/>
        </w:rPr>
        <w:t>learned,</w:t>
      </w:r>
      <w:r w:rsidRPr="00E32B50">
        <w:rPr>
          <w:rFonts w:ascii="Arial" w:hAnsi="Arial" w:cs="Arial"/>
          <w:b/>
          <w:bCs/>
          <w:sz w:val="20"/>
          <w:szCs w:val="20"/>
        </w:rPr>
        <w:t xml:space="preserve"> or best practices extracted from within the country and from other countries (South-South cooperation).</w:t>
      </w:r>
      <w:r w:rsidR="00093283" w:rsidRPr="00E32B50">
        <w:rPr>
          <w:rFonts w:ascii="Arial" w:hAnsi="Arial" w:cs="Arial"/>
          <w:b/>
          <w:bCs/>
          <w:sz w:val="20"/>
          <w:szCs w:val="20"/>
        </w:rPr>
        <w:t xml:space="preserve"> / </w:t>
      </w:r>
      <w:r w:rsidRPr="00E32B50">
        <w:rPr>
          <w:rFonts w:ascii="Arial" w:hAnsi="Arial" w:cs="Arial"/>
          <w:b/>
          <w:bCs/>
          <w:sz w:val="20"/>
          <w:szCs w:val="20"/>
        </w:rPr>
        <w:t>NDAs/DAEs/ DPs who have established process, systems and/or platforms for identification of best practices, lessons learned and Knowledge Management.</w:t>
      </w:r>
      <w:r w:rsidR="00E32B50">
        <w:rPr>
          <w:rFonts w:ascii="Arial" w:hAnsi="Arial" w:cs="Arial"/>
          <w:b/>
          <w:bCs/>
          <w:sz w:val="20"/>
          <w:szCs w:val="20"/>
        </w:rPr>
        <w:t xml:space="preserve"> </w:t>
      </w:r>
      <w:r w:rsidRPr="00E32B50">
        <w:rPr>
          <w:rFonts w:ascii="Arial" w:hAnsi="Arial" w:cs="Arial"/>
          <w:sz w:val="20"/>
          <w:szCs w:val="20"/>
        </w:rPr>
        <w:t>To address the fragmented knowledge landscape and inadequate capacity of national financial institutions in Kyrgyzstan to mobilize and manage green finance (</w:t>
      </w:r>
      <w:r w:rsidRPr="00E32B50">
        <w:rPr>
          <w:rFonts w:ascii="Arial" w:hAnsi="Arial" w:cs="Arial"/>
          <w:b/>
          <w:bCs/>
          <w:sz w:val="20"/>
          <w:szCs w:val="20"/>
        </w:rPr>
        <w:t>Barrier 4</w:t>
      </w:r>
      <w:r w:rsidRPr="00E32B50">
        <w:rPr>
          <w:rFonts w:ascii="Arial" w:hAnsi="Arial" w:cs="Arial"/>
          <w:sz w:val="20"/>
          <w:szCs w:val="20"/>
        </w:rPr>
        <w:t>), the project will focus on producing actionable knowledge products and establishing mechanisms for knowledge exchange and capacity building. These outputs aim to enhance the ability of NDAs, DAEs, and delivery partners to align with global best practices while fostering a collaborative environment for learning and innovation.</w:t>
      </w:r>
    </w:p>
    <w:p w14:paraId="4303A146" w14:textId="77777777" w:rsidR="00CA1FF2" w:rsidRPr="00E32B50" w:rsidRDefault="00CA1FF2" w:rsidP="00CA1FF2">
      <w:pPr>
        <w:pStyle w:val="ListParagraph"/>
        <w:spacing w:line="278" w:lineRule="auto"/>
        <w:ind w:left="360"/>
        <w:jc w:val="both"/>
        <w:rPr>
          <w:rFonts w:ascii="Arial" w:hAnsi="Arial" w:cs="Arial"/>
          <w:sz w:val="20"/>
          <w:szCs w:val="20"/>
        </w:rPr>
      </w:pPr>
    </w:p>
    <w:p w14:paraId="2B6C2B04" w14:textId="51E8BF0B" w:rsidR="007665C0" w:rsidRDefault="00B71F1D">
      <w:pPr>
        <w:pStyle w:val="ListParagraph"/>
        <w:numPr>
          <w:ilvl w:val="0"/>
          <w:numId w:val="29"/>
        </w:numPr>
        <w:spacing w:line="278" w:lineRule="auto"/>
        <w:jc w:val="both"/>
        <w:rPr>
          <w:rFonts w:ascii="Arial" w:hAnsi="Arial" w:cs="Arial"/>
          <w:sz w:val="20"/>
          <w:szCs w:val="20"/>
        </w:rPr>
      </w:pPr>
      <w:r w:rsidRPr="007665C0">
        <w:rPr>
          <w:rFonts w:ascii="Arial" w:hAnsi="Arial" w:cs="Arial"/>
          <w:sz w:val="20"/>
          <w:szCs w:val="20"/>
        </w:rPr>
        <w:t>The project will begin with a comprehensive mapping of global green finance institutions and their funding mechanisms (Activity 5.1.1.2.a). This activity involves identifying relevant sources of financing, including mitigation, adaptation, and mixed-purpose funding streams. The mapping exercise will also analyze types of financial instruments (e.g., grants, concessional loans, equity) and their applicability across priority sectors. A detailed desk review of national financial institutions</w:t>
      </w:r>
      <w:r w:rsidR="00C10BEC" w:rsidRPr="007665C0">
        <w:rPr>
          <w:rFonts w:ascii="Arial" w:hAnsi="Arial" w:cs="Arial"/>
          <w:b/>
          <w:bCs/>
          <w:sz w:val="20"/>
          <w:szCs w:val="20"/>
        </w:rPr>
        <w:t xml:space="preserve"> </w:t>
      </w:r>
      <w:r w:rsidR="00C10BEC" w:rsidRPr="007665C0">
        <w:rPr>
          <w:rFonts w:ascii="Arial" w:hAnsi="Arial" w:cs="Arial"/>
          <w:sz w:val="20"/>
          <w:szCs w:val="20"/>
        </w:rPr>
        <w:t>will be conducted</w:t>
      </w:r>
      <w:r w:rsidRPr="007665C0">
        <w:rPr>
          <w:rFonts w:ascii="Arial" w:hAnsi="Arial" w:cs="Arial"/>
          <w:sz w:val="20"/>
          <w:szCs w:val="20"/>
        </w:rPr>
        <w:t xml:space="preserve">, including banks, microfinance organizations, and </w:t>
      </w:r>
      <w:r w:rsidR="00544EE2" w:rsidRPr="007665C0">
        <w:rPr>
          <w:rFonts w:ascii="Arial" w:hAnsi="Arial" w:cs="Arial"/>
          <w:sz w:val="20"/>
          <w:szCs w:val="20"/>
        </w:rPr>
        <w:t>G</w:t>
      </w:r>
      <w:r w:rsidRPr="007665C0">
        <w:rPr>
          <w:rFonts w:ascii="Arial" w:hAnsi="Arial" w:cs="Arial"/>
          <w:sz w:val="20"/>
          <w:szCs w:val="20"/>
        </w:rPr>
        <w:t xml:space="preserve">uarantee </w:t>
      </w:r>
      <w:r w:rsidR="00544EE2" w:rsidRPr="007665C0">
        <w:rPr>
          <w:rFonts w:ascii="Arial" w:hAnsi="Arial" w:cs="Arial"/>
          <w:sz w:val="20"/>
          <w:szCs w:val="20"/>
        </w:rPr>
        <w:t>F</w:t>
      </w:r>
      <w:r w:rsidRPr="007665C0">
        <w:rPr>
          <w:rFonts w:ascii="Arial" w:hAnsi="Arial" w:cs="Arial"/>
          <w:sz w:val="20"/>
          <w:szCs w:val="20"/>
        </w:rPr>
        <w:t>und,</w:t>
      </w:r>
      <w:r w:rsidR="00C10BEC" w:rsidRPr="007665C0">
        <w:rPr>
          <w:rFonts w:ascii="Arial" w:hAnsi="Arial" w:cs="Arial"/>
          <w:sz w:val="20"/>
          <w:szCs w:val="20"/>
        </w:rPr>
        <w:t xml:space="preserve"> with focus on </w:t>
      </w:r>
      <w:r w:rsidR="00D53143" w:rsidRPr="007665C0">
        <w:rPr>
          <w:rFonts w:ascii="Arial" w:hAnsi="Arial" w:cs="Arial"/>
          <w:sz w:val="20"/>
          <w:szCs w:val="20"/>
        </w:rPr>
        <w:t xml:space="preserve">institutional maturity, </w:t>
      </w:r>
      <w:r w:rsidR="00C10BEC" w:rsidRPr="007665C0">
        <w:rPr>
          <w:rFonts w:ascii="Arial" w:hAnsi="Arial" w:cs="Arial"/>
          <w:sz w:val="20"/>
          <w:szCs w:val="20"/>
        </w:rPr>
        <w:t xml:space="preserve">eligibility and compliance </w:t>
      </w:r>
      <w:r w:rsidR="00DC4F68" w:rsidRPr="007665C0">
        <w:rPr>
          <w:rFonts w:ascii="Arial" w:hAnsi="Arial" w:cs="Arial"/>
          <w:sz w:val="20"/>
          <w:szCs w:val="20"/>
        </w:rPr>
        <w:t>with</w:t>
      </w:r>
      <w:r w:rsidR="00C10BEC" w:rsidRPr="007665C0">
        <w:rPr>
          <w:rFonts w:ascii="Arial" w:hAnsi="Arial" w:cs="Arial"/>
          <w:sz w:val="20"/>
          <w:szCs w:val="20"/>
        </w:rPr>
        <w:t xml:space="preserve"> requirements for applications</w:t>
      </w:r>
      <w:r w:rsidRPr="007665C0">
        <w:rPr>
          <w:rFonts w:ascii="Arial" w:hAnsi="Arial" w:cs="Arial"/>
          <w:sz w:val="20"/>
          <w:szCs w:val="20"/>
        </w:rPr>
        <w:t xml:space="preserve">. This will enable the contextualization of global green finance requirements for Kyrgyzstan’s unique institutional and economic environment. These findings will </w:t>
      </w:r>
      <w:r w:rsidR="00DC4F68" w:rsidRPr="007665C0">
        <w:rPr>
          <w:rFonts w:ascii="Arial" w:hAnsi="Arial" w:cs="Arial"/>
          <w:sz w:val="20"/>
          <w:szCs w:val="20"/>
        </w:rPr>
        <w:t>allow</w:t>
      </w:r>
      <w:r w:rsidR="00032C3C" w:rsidRPr="007665C0">
        <w:rPr>
          <w:rFonts w:ascii="Arial" w:hAnsi="Arial" w:cs="Arial"/>
          <w:sz w:val="20"/>
          <w:szCs w:val="20"/>
        </w:rPr>
        <w:t xml:space="preserve"> the project</w:t>
      </w:r>
      <w:r w:rsidR="00C10BEC" w:rsidRPr="007665C0">
        <w:rPr>
          <w:rFonts w:ascii="Arial" w:hAnsi="Arial" w:cs="Arial"/>
          <w:sz w:val="20"/>
          <w:szCs w:val="20"/>
        </w:rPr>
        <w:t xml:space="preserve"> to formulate</w:t>
      </w:r>
      <w:r w:rsidRPr="007665C0">
        <w:rPr>
          <w:rFonts w:ascii="Arial" w:hAnsi="Arial" w:cs="Arial"/>
          <w:sz w:val="20"/>
          <w:szCs w:val="20"/>
        </w:rPr>
        <w:t xml:space="preserve"> a guideline for mobilizing green finance resources tailored to sector-specific needs, including requirements for compliance, institutional maturity levels, and a roadmap for capacity-building interventions.</w:t>
      </w:r>
    </w:p>
    <w:p w14:paraId="38A63DDE" w14:textId="77777777" w:rsidR="007A0F04" w:rsidRDefault="007A0F04" w:rsidP="007A0F04">
      <w:pPr>
        <w:pStyle w:val="ListParagraph"/>
        <w:spacing w:line="278" w:lineRule="auto"/>
        <w:ind w:left="360"/>
        <w:jc w:val="both"/>
        <w:rPr>
          <w:rFonts w:ascii="Arial" w:hAnsi="Arial" w:cs="Arial"/>
          <w:sz w:val="20"/>
          <w:szCs w:val="20"/>
        </w:rPr>
      </w:pPr>
    </w:p>
    <w:p w14:paraId="582C0250" w14:textId="77777777" w:rsidR="000C4721" w:rsidRDefault="00B71F1D">
      <w:pPr>
        <w:pStyle w:val="ListParagraph"/>
        <w:numPr>
          <w:ilvl w:val="0"/>
          <w:numId w:val="29"/>
        </w:numPr>
        <w:spacing w:line="278" w:lineRule="auto"/>
        <w:jc w:val="both"/>
        <w:rPr>
          <w:rFonts w:ascii="Arial" w:hAnsi="Arial" w:cs="Arial"/>
          <w:sz w:val="20"/>
          <w:szCs w:val="20"/>
        </w:rPr>
      </w:pPr>
      <w:r w:rsidRPr="000C4721">
        <w:rPr>
          <w:rFonts w:ascii="Arial" w:hAnsi="Arial" w:cs="Arial"/>
          <w:sz w:val="20"/>
          <w:szCs w:val="20"/>
        </w:rPr>
        <w:t xml:space="preserve">Recognizing the operational gaps within </w:t>
      </w:r>
      <w:r w:rsidR="00093283" w:rsidRPr="000C4721">
        <w:rPr>
          <w:rFonts w:ascii="Arial" w:hAnsi="Arial" w:cs="Arial"/>
          <w:sz w:val="20"/>
          <w:szCs w:val="20"/>
        </w:rPr>
        <w:t>financial institution</w:t>
      </w:r>
      <w:r w:rsidRPr="000C4721">
        <w:rPr>
          <w:rFonts w:ascii="Arial" w:hAnsi="Arial" w:cs="Arial"/>
          <w:sz w:val="20"/>
          <w:szCs w:val="20"/>
        </w:rPr>
        <w:t>s, the project will provide tailored recommendations for targeted financial institutions, including the State Development Bank (SDB) and two commercial banks (Activity 5.1.1.2.b). These recommendations will address gaps in internal regulatory frameworks, compliance with international non-financial reporting standards, and corporate governance structures. Additionally, strategies for pipeline development and green product design will be integrated, alongside plans for investor relations and enhanced organizational frameworks.</w:t>
      </w:r>
      <w:r w:rsidR="003E73ED" w:rsidRPr="000C4721">
        <w:rPr>
          <w:rFonts w:ascii="Arial" w:hAnsi="Arial" w:cs="Arial"/>
          <w:sz w:val="20"/>
          <w:szCs w:val="20"/>
        </w:rPr>
        <w:t xml:space="preserve"> </w:t>
      </w:r>
      <w:r w:rsidRPr="000C4721">
        <w:rPr>
          <w:rFonts w:ascii="Arial" w:hAnsi="Arial" w:cs="Arial"/>
          <w:sz w:val="20"/>
          <w:szCs w:val="20"/>
        </w:rPr>
        <w:t>To build upon these efforts, the project will develop internal regulatory standards for green finance (Activity 5.1.1.2.c). A uniform hierarchy of internal documents, templates, and procedures for financial institutions will be created, ensuring compliance with national banking regulations and international standards. These templates will provide a systematic approach to document approval, storage, access, disclosure, and publication, thereby institutionalizing best practices for green finance operations.</w:t>
      </w:r>
    </w:p>
    <w:p w14:paraId="2B6196F9" w14:textId="77777777" w:rsidR="000C4721" w:rsidRPr="000C4721" w:rsidRDefault="000C4721" w:rsidP="000C4721">
      <w:pPr>
        <w:pStyle w:val="ListParagraph"/>
        <w:rPr>
          <w:rFonts w:ascii="Arial" w:hAnsi="Arial" w:cs="Arial"/>
          <w:sz w:val="20"/>
          <w:szCs w:val="20"/>
        </w:rPr>
      </w:pPr>
    </w:p>
    <w:p w14:paraId="27FA7142" w14:textId="02C2D138" w:rsidR="00B71F1D" w:rsidRPr="00127270" w:rsidRDefault="00B71F1D">
      <w:pPr>
        <w:pStyle w:val="ListParagraph"/>
        <w:numPr>
          <w:ilvl w:val="0"/>
          <w:numId w:val="29"/>
        </w:numPr>
        <w:spacing w:line="278" w:lineRule="auto"/>
        <w:jc w:val="both"/>
        <w:rPr>
          <w:rFonts w:ascii="Arial" w:hAnsi="Arial" w:cs="Arial"/>
          <w:sz w:val="20"/>
          <w:szCs w:val="20"/>
        </w:rPr>
      </w:pPr>
      <w:r w:rsidRPr="00127270">
        <w:rPr>
          <w:rFonts w:ascii="Arial" w:hAnsi="Arial" w:cs="Arial"/>
          <w:sz w:val="20"/>
          <w:szCs w:val="20"/>
        </w:rPr>
        <w:t>The project will also undertake an analysis of existing derisking solutions (Activity 5.1.1.2.d). This activity includes evaluating tools available in the national market, such as guarantees and subsidies, while identifying gaps and regulatory barriers that create risks for green funding. Recommendations will be made to enhance or introduce de-risking solutions, benchmarked against global best practices. These findings will be presented during a workshop to engage stakeholders and elicit feedback, ensuring the relevance and applicability of the proposed solutions.</w:t>
      </w:r>
      <w:r w:rsidR="00127270" w:rsidRPr="00127270">
        <w:rPr>
          <w:rFonts w:ascii="Arial" w:hAnsi="Arial" w:cs="Arial"/>
          <w:sz w:val="20"/>
          <w:szCs w:val="20"/>
        </w:rPr>
        <w:t xml:space="preserve"> </w:t>
      </w:r>
      <w:r w:rsidRPr="00127270">
        <w:rPr>
          <w:rFonts w:ascii="Arial" w:hAnsi="Arial" w:cs="Arial"/>
          <w:sz w:val="20"/>
          <w:szCs w:val="20"/>
        </w:rPr>
        <w:t xml:space="preserve">To sustain and expand capacity-building efforts, the project will facilitate regional knowledge exchange on green financial products (Activity 5.1.2.2.a). A knowledge exchange will serve as a platform for stakeholders to share insights on incentives and mechanisms for green finance. This will include </w:t>
      </w:r>
      <w:r w:rsidRPr="00127270">
        <w:rPr>
          <w:rFonts w:ascii="Arial" w:hAnsi="Arial" w:cs="Arial"/>
          <w:sz w:val="20"/>
          <w:szCs w:val="20"/>
        </w:rPr>
        <w:lastRenderedPageBreak/>
        <w:t xml:space="preserve">comparative analyses of regional approaches and success stories, fostering a collaborative learning environment. This platform will function as a forum for horizontal knowledge-sharing, enabling financial institutions and stakeholders to exchange ideas, resources, and experiences. </w:t>
      </w:r>
    </w:p>
    <w:p w14:paraId="4E23E0CB" w14:textId="61F01B94" w:rsidR="00BB234B" w:rsidRDefault="00BB234B" w:rsidP="00BB234B">
      <w:pPr>
        <w:spacing w:before="120" w:after="120" w:line="240" w:lineRule="auto"/>
        <w:ind w:right="-29"/>
        <w:jc w:val="both"/>
        <w:rPr>
          <w:rFonts w:ascii="Arial" w:hAnsi="Arial" w:cs="Arial"/>
          <w:sz w:val="20"/>
          <w:szCs w:val="20"/>
        </w:rPr>
      </w:pPr>
      <w:r w:rsidRPr="00AE4DC4">
        <w:rPr>
          <w:rFonts w:ascii="Arial" w:hAnsi="Arial" w:cs="Arial"/>
          <w:sz w:val="20"/>
          <w:szCs w:val="20"/>
        </w:rPr>
        <w:t xml:space="preserve">Table </w:t>
      </w:r>
      <w:r w:rsidR="00090822">
        <w:rPr>
          <w:rFonts w:ascii="Arial" w:hAnsi="Arial" w:cs="Arial"/>
          <w:sz w:val="20"/>
          <w:szCs w:val="20"/>
        </w:rPr>
        <w:t>3</w:t>
      </w:r>
      <w:r w:rsidRPr="00AE4DC4">
        <w:rPr>
          <w:rFonts w:ascii="Arial" w:hAnsi="Arial" w:cs="Arial"/>
          <w:sz w:val="20"/>
          <w:szCs w:val="20"/>
        </w:rPr>
        <w:t>. Alignment between Outputs &amp; Activities with corresponding gaps &amp; barriers</w:t>
      </w:r>
    </w:p>
    <w:tbl>
      <w:tblPr>
        <w:tblStyle w:val="GridTable4-Accent1"/>
        <w:tblW w:w="5000" w:type="pct"/>
        <w:tblLook w:val="04A0" w:firstRow="1" w:lastRow="0" w:firstColumn="1" w:lastColumn="0" w:noHBand="0" w:noVBand="1"/>
      </w:tblPr>
      <w:tblGrid>
        <w:gridCol w:w="2223"/>
        <w:gridCol w:w="2287"/>
        <w:gridCol w:w="2507"/>
        <w:gridCol w:w="2000"/>
      </w:tblGrid>
      <w:tr w:rsidR="00166BA7" w:rsidRPr="002D4271" w14:paraId="681042AD" w14:textId="77777777" w:rsidTr="00BE6F5F">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1233" w:type="pct"/>
            <w:vAlign w:val="center"/>
          </w:tcPr>
          <w:p w14:paraId="16F18F68" w14:textId="77777777" w:rsidR="00166BA7" w:rsidRPr="002D4271" w:rsidRDefault="00166BA7">
            <w:pPr>
              <w:spacing w:after="120"/>
              <w:rPr>
                <w:rFonts w:ascii="Arial Narrow" w:hAnsi="Arial Narrow"/>
                <w:b w:val="0"/>
                <w:bCs w:val="0"/>
                <w:sz w:val="20"/>
                <w:szCs w:val="20"/>
              </w:rPr>
            </w:pPr>
            <w:r w:rsidRPr="002D4271">
              <w:rPr>
                <w:rFonts w:ascii="Arial Narrow" w:hAnsi="Arial Narrow"/>
                <w:sz w:val="20"/>
                <w:szCs w:val="20"/>
              </w:rPr>
              <w:t>Outcome</w:t>
            </w:r>
          </w:p>
        </w:tc>
        <w:tc>
          <w:tcPr>
            <w:tcW w:w="1268" w:type="pct"/>
            <w:vAlign w:val="center"/>
          </w:tcPr>
          <w:p w14:paraId="4C17519C" w14:textId="77777777" w:rsidR="00166BA7" w:rsidRPr="002D4271" w:rsidRDefault="00166BA7">
            <w:pPr>
              <w:spacing w:after="120"/>
              <w:cnfStyle w:val="100000000000" w:firstRow="1" w:lastRow="0" w:firstColumn="0" w:lastColumn="0" w:oddVBand="0" w:evenVBand="0" w:oddHBand="0" w:evenHBand="0" w:firstRowFirstColumn="0" w:firstRowLastColumn="0" w:lastRowFirstColumn="0" w:lastRowLastColumn="0"/>
              <w:rPr>
                <w:rFonts w:ascii="Arial Narrow" w:hAnsi="Arial Narrow"/>
                <w:b w:val="0"/>
                <w:bCs w:val="0"/>
                <w:sz w:val="20"/>
                <w:szCs w:val="20"/>
              </w:rPr>
            </w:pPr>
            <w:r w:rsidRPr="002D4271">
              <w:rPr>
                <w:rFonts w:ascii="Arial Narrow" w:hAnsi="Arial Narrow"/>
                <w:sz w:val="20"/>
                <w:szCs w:val="20"/>
              </w:rPr>
              <w:t>Output</w:t>
            </w:r>
          </w:p>
        </w:tc>
        <w:tc>
          <w:tcPr>
            <w:tcW w:w="1390" w:type="pct"/>
            <w:vAlign w:val="center"/>
          </w:tcPr>
          <w:p w14:paraId="35A2BCCB" w14:textId="77777777" w:rsidR="00166BA7" w:rsidRPr="002D4271" w:rsidRDefault="00166BA7">
            <w:pPr>
              <w:spacing w:after="120"/>
              <w:cnfStyle w:val="100000000000" w:firstRow="1" w:lastRow="0" w:firstColumn="0" w:lastColumn="0" w:oddVBand="0" w:evenVBand="0" w:oddHBand="0" w:evenHBand="0" w:firstRowFirstColumn="0" w:firstRowLastColumn="0" w:lastRowFirstColumn="0" w:lastRowLastColumn="0"/>
              <w:rPr>
                <w:rFonts w:ascii="Arial Narrow" w:hAnsi="Arial Narrow"/>
                <w:b w:val="0"/>
                <w:bCs w:val="0"/>
                <w:sz w:val="20"/>
                <w:szCs w:val="20"/>
              </w:rPr>
            </w:pPr>
            <w:r w:rsidRPr="002D4271">
              <w:rPr>
                <w:rFonts w:ascii="Arial Narrow" w:hAnsi="Arial Narrow"/>
                <w:sz w:val="20"/>
                <w:szCs w:val="20"/>
              </w:rPr>
              <w:t>Activities</w:t>
            </w:r>
          </w:p>
        </w:tc>
        <w:tc>
          <w:tcPr>
            <w:tcW w:w="1110" w:type="pct"/>
            <w:vAlign w:val="center"/>
          </w:tcPr>
          <w:p w14:paraId="3F317989" w14:textId="77777777" w:rsidR="00166BA7" w:rsidRPr="002D4271" w:rsidRDefault="00166BA7">
            <w:pPr>
              <w:spacing w:after="120"/>
              <w:cnfStyle w:val="100000000000" w:firstRow="1" w:lastRow="0" w:firstColumn="0" w:lastColumn="0" w:oddVBand="0" w:evenVBand="0" w:oddHBand="0" w:evenHBand="0" w:firstRowFirstColumn="0" w:firstRowLastColumn="0" w:lastRowFirstColumn="0" w:lastRowLastColumn="0"/>
              <w:rPr>
                <w:rFonts w:ascii="Arial Narrow" w:hAnsi="Arial Narrow"/>
                <w:b w:val="0"/>
                <w:bCs w:val="0"/>
                <w:sz w:val="20"/>
                <w:szCs w:val="20"/>
              </w:rPr>
            </w:pPr>
            <w:r w:rsidRPr="002D4271">
              <w:rPr>
                <w:rFonts w:ascii="Arial Narrow" w:hAnsi="Arial Narrow"/>
                <w:sz w:val="20"/>
                <w:szCs w:val="20"/>
              </w:rPr>
              <w:t>Gap/Barrier</w:t>
            </w:r>
          </w:p>
        </w:tc>
      </w:tr>
      <w:tr w:rsidR="00166BA7" w:rsidRPr="002D4271" w14:paraId="73DD2E4F" w14:textId="77777777" w:rsidTr="00BE6F5F">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val="restart"/>
            <w:shd w:val="clear" w:color="auto" w:fill="auto"/>
            <w:vAlign w:val="center"/>
          </w:tcPr>
          <w:p w14:paraId="52DAD2BE" w14:textId="77777777" w:rsidR="00166BA7" w:rsidRPr="002D4271" w:rsidRDefault="00166BA7">
            <w:pPr>
              <w:rPr>
                <w:rFonts w:ascii="Arial Narrow" w:hAnsi="Arial Narrow" w:cs="Arial"/>
                <w:sz w:val="20"/>
                <w:szCs w:val="20"/>
              </w:rPr>
            </w:pPr>
            <w:r w:rsidRPr="002D4271">
              <w:rPr>
                <w:rFonts w:ascii="Arial Narrow" w:hAnsi="Arial Narrow" w:cs="Arial"/>
                <w:sz w:val="20"/>
                <w:szCs w:val="20"/>
              </w:rPr>
              <w:t>Outcome 1.1. Country NDAs or focal points and the network/ systems that enable them to fulfil their roles, responsibilities and policy requirements are operational and effective.</w:t>
            </w:r>
          </w:p>
        </w:tc>
        <w:tc>
          <w:tcPr>
            <w:tcW w:w="1268" w:type="pct"/>
            <w:vMerge w:val="restart"/>
            <w:shd w:val="clear" w:color="auto" w:fill="auto"/>
            <w:vAlign w:val="center"/>
          </w:tcPr>
          <w:p w14:paraId="2FD3B271" w14:textId="77777777" w:rsidR="00166BA7" w:rsidRPr="00CA1FF2"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CA1FF2">
              <w:rPr>
                <w:rFonts w:ascii="Arial Narrow" w:hAnsi="Arial Narrow"/>
                <w:sz w:val="20"/>
                <w:szCs w:val="20"/>
              </w:rPr>
              <w:t>Output 1.1.3. Decision making processes defined and operationalized at the NDA level for No-Objection Letters and consideration/facilitation of climate change project.</w:t>
            </w:r>
          </w:p>
        </w:tc>
        <w:tc>
          <w:tcPr>
            <w:tcW w:w="1390" w:type="pct"/>
            <w:shd w:val="clear" w:color="auto" w:fill="auto"/>
            <w:vAlign w:val="center"/>
          </w:tcPr>
          <w:p w14:paraId="677176B6" w14:textId="77777777" w:rsidR="00166BA7" w:rsidRPr="00CA1FF2"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CA1FF2">
              <w:rPr>
                <w:rFonts w:ascii="Arial Narrow" w:hAnsi="Arial Narrow"/>
                <w:sz w:val="20"/>
                <w:szCs w:val="20"/>
              </w:rPr>
              <w:t>Activity 1.1.3.2. a. Review and develop validation and verification systems of targeted financial institutions in line with global standards and national regulatory framework</w:t>
            </w:r>
          </w:p>
        </w:tc>
        <w:tc>
          <w:tcPr>
            <w:tcW w:w="1110" w:type="pct"/>
            <w:vMerge w:val="restart"/>
            <w:shd w:val="clear" w:color="auto" w:fill="auto"/>
            <w:vAlign w:val="center"/>
          </w:tcPr>
          <w:p w14:paraId="06E3FFE8"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b/>
                <w:bCs/>
                <w:sz w:val="20"/>
                <w:szCs w:val="20"/>
                <w:lang w:val="en-GB"/>
              </w:rPr>
            </w:pPr>
            <w:r w:rsidRPr="002D4271">
              <w:rPr>
                <w:rFonts w:ascii="Arial Narrow" w:hAnsi="Arial Narrow"/>
                <w:b/>
                <w:bCs/>
                <w:sz w:val="20"/>
                <w:szCs w:val="20"/>
              </w:rPr>
              <w:t xml:space="preserve">Barrier 2. </w:t>
            </w:r>
            <w:r w:rsidRPr="002D4271">
              <w:rPr>
                <w:rFonts w:ascii="Arial Narrow" w:hAnsi="Arial Narrow"/>
                <w:sz w:val="20"/>
                <w:szCs w:val="20"/>
              </w:rPr>
              <w:t xml:space="preserve">Inadequate capacity of financial institutions to transparently and accountably track green finance operations  </w:t>
            </w:r>
          </w:p>
        </w:tc>
      </w:tr>
      <w:tr w:rsidR="00166BA7" w:rsidRPr="002D4271" w14:paraId="461EB964" w14:textId="77777777" w:rsidTr="00BE6F5F">
        <w:trPr>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shd w:val="clear" w:color="auto" w:fill="auto"/>
            <w:vAlign w:val="center"/>
          </w:tcPr>
          <w:p w14:paraId="07469466" w14:textId="77777777" w:rsidR="00166BA7" w:rsidRPr="002D4271" w:rsidRDefault="00166BA7">
            <w:pPr>
              <w:rPr>
                <w:rFonts w:ascii="Arial Narrow" w:hAnsi="Arial Narrow" w:cs="Arial"/>
                <w:sz w:val="20"/>
                <w:szCs w:val="20"/>
              </w:rPr>
            </w:pPr>
          </w:p>
        </w:tc>
        <w:tc>
          <w:tcPr>
            <w:tcW w:w="1268" w:type="pct"/>
            <w:vMerge/>
            <w:shd w:val="clear" w:color="auto" w:fill="auto"/>
            <w:vAlign w:val="center"/>
          </w:tcPr>
          <w:p w14:paraId="39B7BEBC" w14:textId="77777777" w:rsidR="00166BA7" w:rsidRPr="00CA1FF2"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390" w:type="pct"/>
            <w:shd w:val="clear" w:color="auto" w:fill="auto"/>
            <w:vAlign w:val="center"/>
          </w:tcPr>
          <w:p w14:paraId="591CF62E" w14:textId="77777777" w:rsidR="00166BA7" w:rsidRPr="00CA1FF2"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CA1FF2">
              <w:rPr>
                <w:rFonts w:ascii="Arial Narrow" w:hAnsi="Arial Narrow"/>
                <w:sz w:val="20"/>
                <w:szCs w:val="20"/>
              </w:rPr>
              <w:t>Activity 1.1.3.2.b. Institutionalize a validation and verification system of green projects at the CFC in line with national climate goals</w:t>
            </w:r>
          </w:p>
        </w:tc>
        <w:tc>
          <w:tcPr>
            <w:tcW w:w="1110" w:type="pct"/>
            <w:vMerge/>
            <w:shd w:val="clear" w:color="auto" w:fill="auto"/>
            <w:vAlign w:val="center"/>
          </w:tcPr>
          <w:p w14:paraId="471D3247"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b/>
                <w:bCs/>
                <w:sz w:val="20"/>
                <w:szCs w:val="20"/>
              </w:rPr>
            </w:pPr>
          </w:p>
        </w:tc>
      </w:tr>
      <w:tr w:rsidR="00166BA7" w:rsidRPr="002D4271" w14:paraId="63A00ECE" w14:textId="77777777" w:rsidTr="00BE6F5F">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1233" w:type="pct"/>
            <w:shd w:val="clear" w:color="auto" w:fill="auto"/>
            <w:vAlign w:val="center"/>
          </w:tcPr>
          <w:p w14:paraId="23BB04E0" w14:textId="77777777" w:rsidR="00166BA7" w:rsidRPr="002D4271" w:rsidRDefault="00166BA7">
            <w:pPr>
              <w:rPr>
                <w:rFonts w:ascii="Arial Narrow" w:hAnsi="Arial Narrow" w:cs="Arial"/>
                <w:sz w:val="20"/>
                <w:szCs w:val="20"/>
              </w:rPr>
            </w:pPr>
            <w:r w:rsidRPr="002D4271">
              <w:rPr>
                <w:rFonts w:ascii="Arial Narrow" w:hAnsi="Arial Narrow" w:cs="Arial"/>
                <w:sz w:val="20"/>
                <w:szCs w:val="20"/>
              </w:rPr>
              <w:t>Outcome 1.3. Relevant country stakeholders (which may include executing entities, CSOs and private sector) have established adequate capacity, systems and networks to support the planning, programming and implementation of GCF funded activities.</w:t>
            </w:r>
          </w:p>
        </w:tc>
        <w:tc>
          <w:tcPr>
            <w:tcW w:w="1268" w:type="pct"/>
            <w:shd w:val="clear" w:color="auto" w:fill="auto"/>
            <w:vAlign w:val="center"/>
          </w:tcPr>
          <w:p w14:paraId="58B6CD28"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2D4271">
              <w:rPr>
                <w:rFonts w:ascii="Arial Narrow" w:hAnsi="Arial Narrow" w:cs="Arial"/>
                <w:sz w:val="20"/>
                <w:szCs w:val="20"/>
              </w:rPr>
              <w:t>Output 1.3.1. Relevant stakeholders engaged and trained to support planning, programming and implementation of GCF funded activities.</w:t>
            </w:r>
          </w:p>
        </w:tc>
        <w:tc>
          <w:tcPr>
            <w:tcW w:w="1390" w:type="pct"/>
            <w:shd w:val="clear" w:color="auto" w:fill="auto"/>
            <w:vAlign w:val="center"/>
          </w:tcPr>
          <w:p w14:paraId="77E951D1"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1.3.1.1.a. Capacitate financial institutions on the validation and verification system</w:t>
            </w:r>
          </w:p>
        </w:tc>
        <w:tc>
          <w:tcPr>
            <w:tcW w:w="1110" w:type="pct"/>
            <w:shd w:val="clear" w:color="auto" w:fill="auto"/>
            <w:vAlign w:val="center"/>
          </w:tcPr>
          <w:p w14:paraId="4CF4BA68"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2D4271">
              <w:rPr>
                <w:rFonts w:ascii="Arial Narrow" w:hAnsi="Arial Narrow"/>
                <w:b/>
                <w:bCs/>
                <w:sz w:val="20"/>
                <w:szCs w:val="20"/>
              </w:rPr>
              <w:t xml:space="preserve">Barrier 2. </w:t>
            </w:r>
            <w:r w:rsidRPr="002D4271">
              <w:rPr>
                <w:rFonts w:ascii="Arial Narrow" w:hAnsi="Arial Narrow"/>
                <w:sz w:val="20"/>
                <w:szCs w:val="20"/>
              </w:rPr>
              <w:t xml:space="preserve">Inadequate capacity of financial institutions to transparently and accountably track green finance operations  </w:t>
            </w:r>
          </w:p>
        </w:tc>
      </w:tr>
      <w:tr w:rsidR="00166BA7" w:rsidRPr="002D4271" w14:paraId="590E38BC" w14:textId="77777777" w:rsidTr="00BE6F5F">
        <w:trPr>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val="restart"/>
            <w:shd w:val="clear" w:color="auto" w:fill="auto"/>
            <w:vAlign w:val="center"/>
          </w:tcPr>
          <w:p w14:paraId="0E64EBAD" w14:textId="77777777" w:rsidR="00166BA7" w:rsidRPr="002D4271" w:rsidRDefault="00166BA7">
            <w:pPr>
              <w:rPr>
                <w:rFonts w:ascii="Arial Narrow" w:hAnsi="Arial Narrow" w:cs="Arial"/>
                <w:sz w:val="20"/>
                <w:szCs w:val="20"/>
              </w:rPr>
            </w:pPr>
            <w:r w:rsidRPr="002D4271">
              <w:rPr>
                <w:rFonts w:ascii="Arial Narrow" w:hAnsi="Arial Narrow" w:cs="Arial"/>
                <w:sz w:val="20"/>
                <w:szCs w:val="20"/>
              </w:rPr>
              <w:t>Outcome 2.2. GCF recipient countries have developed or enhanced strategic frameworks to address policy gaps, improve sectoral expertise, and enhance enabling environments for GCF Programming in low-emission investment.</w:t>
            </w:r>
          </w:p>
        </w:tc>
        <w:tc>
          <w:tcPr>
            <w:tcW w:w="1268" w:type="pct"/>
            <w:shd w:val="clear" w:color="auto" w:fill="auto"/>
            <w:vAlign w:val="center"/>
          </w:tcPr>
          <w:p w14:paraId="50B20278"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2D4271">
              <w:rPr>
                <w:rFonts w:ascii="Arial Narrow" w:hAnsi="Arial Narrow" w:cs="Arial"/>
                <w:sz w:val="20"/>
                <w:szCs w:val="20"/>
              </w:rPr>
              <w:t>Output 2.2.5. Studies, action plans, modelling efforts and other research efforts conducted/developed.</w:t>
            </w:r>
          </w:p>
        </w:tc>
        <w:tc>
          <w:tcPr>
            <w:tcW w:w="1390" w:type="pct"/>
            <w:shd w:val="clear" w:color="auto" w:fill="auto"/>
            <w:vAlign w:val="center"/>
          </w:tcPr>
          <w:p w14:paraId="09E5E5F9" w14:textId="77777777" w:rsidR="00166BA7"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2.2.5.1.a. Development of recommendations of the National Bank standards and guidelines for green financing</w:t>
            </w:r>
          </w:p>
          <w:p w14:paraId="58159F64" w14:textId="77777777" w:rsidR="00705851" w:rsidRPr="002D4271" w:rsidRDefault="00705851">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10" w:type="pct"/>
            <w:shd w:val="clear" w:color="auto" w:fill="auto"/>
            <w:vAlign w:val="center"/>
          </w:tcPr>
          <w:p w14:paraId="5090AB73"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b/>
                <w:bCs/>
                <w:sz w:val="20"/>
                <w:szCs w:val="20"/>
                <w:lang w:val="en-GB"/>
              </w:rPr>
            </w:pPr>
            <w:r w:rsidRPr="002D4271">
              <w:rPr>
                <w:rFonts w:ascii="Arial Narrow" w:hAnsi="Arial Narrow"/>
                <w:b/>
                <w:bCs/>
                <w:sz w:val="20"/>
                <w:szCs w:val="20"/>
              </w:rPr>
              <w:t xml:space="preserve">Barrier 1. </w:t>
            </w:r>
            <w:r w:rsidRPr="002D4271">
              <w:rPr>
                <w:rFonts w:ascii="Arial Narrow" w:hAnsi="Arial Narrow"/>
                <w:sz w:val="20"/>
                <w:szCs w:val="20"/>
              </w:rPr>
              <w:t>Insufficient sectoral regulatory frameworks and bylaws for green finance</w:t>
            </w:r>
          </w:p>
        </w:tc>
      </w:tr>
      <w:tr w:rsidR="00166BA7" w:rsidRPr="002D4271" w14:paraId="2D831322" w14:textId="77777777" w:rsidTr="00BE6F5F">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shd w:val="clear" w:color="auto" w:fill="auto"/>
            <w:vAlign w:val="center"/>
          </w:tcPr>
          <w:p w14:paraId="11A37BF6" w14:textId="77777777" w:rsidR="00166BA7" w:rsidRPr="002D4271" w:rsidRDefault="00166BA7">
            <w:pPr>
              <w:rPr>
                <w:rFonts w:ascii="Arial Narrow" w:hAnsi="Arial Narrow" w:cs="Arial"/>
                <w:sz w:val="20"/>
                <w:szCs w:val="20"/>
              </w:rPr>
            </w:pPr>
          </w:p>
        </w:tc>
        <w:tc>
          <w:tcPr>
            <w:tcW w:w="1268" w:type="pct"/>
            <w:vMerge w:val="restart"/>
            <w:shd w:val="clear" w:color="auto" w:fill="auto"/>
            <w:vAlign w:val="center"/>
          </w:tcPr>
          <w:p w14:paraId="47D742EA"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2D4271">
              <w:rPr>
                <w:rFonts w:ascii="Arial Narrow" w:hAnsi="Arial Narrow" w:cs="Arial"/>
                <w:sz w:val="20"/>
                <w:szCs w:val="20"/>
              </w:rPr>
              <w:t>Output 2.2.6. Sectorial strategic frameworks or associated plans developed.</w:t>
            </w:r>
          </w:p>
        </w:tc>
        <w:tc>
          <w:tcPr>
            <w:tcW w:w="1390" w:type="pct"/>
            <w:shd w:val="clear" w:color="auto" w:fill="auto"/>
            <w:vAlign w:val="center"/>
          </w:tcPr>
          <w:p w14:paraId="402922B4" w14:textId="77777777" w:rsidR="00166BA7"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2.2.6.1.a. Develop sectoral regulatory framework for operationalization of the green taxonomy of the Kyrgyz Republic for selected sectors</w:t>
            </w:r>
          </w:p>
          <w:p w14:paraId="282EEDD7" w14:textId="77777777" w:rsidR="0042695A" w:rsidRPr="002D4271" w:rsidRDefault="0042695A">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10" w:type="pct"/>
            <w:shd w:val="clear" w:color="auto" w:fill="auto"/>
            <w:vAlign w:val="center"/>
          </w:tcPr>
          <w:p w14:paraId="2B671AFD"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2D4271">
              <w:rPr>
                <w:rFonts w:ascii="Arial Narrow" w:hAnsi="Arial Narrow"/>
                <w:b/>
                <w:bCs/>
                <w:sz w:val="20"/>
                <w:szCs w:val="20"/>
              </w:rPr>
              <w:t xml:space="preserve">Barrier 1. </w:t>
            </w:r>
            <w:r w:rsidRPr="002D4271">
              <w:rPr>
                <w:rFonts w:ascii="Arial Narrow" w:hAnsi="Arial Narrow"/>
                <w:sz w:val="20"/>
                <w:szCs w:val="20"/>
              </w:rPr>
              <w:t>Insufficient sectoral regulatory frameworks and bylaws for green finance</w:t>
            </w:r>
          </w:p>
        </w:tc>
      </w:tr>
      <w:tr w:rsidR="00166BA7" w:rsidRPr="002D4271" w14:paraId="7B40F8FA" w14:textId="77777777" w:rsidTr="00BE6F5F">
        <w:trPr>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shd w:val="clear" w:color="auto" w:fill="auto"/>
            <w:vAlign w:val="center"/>
          </w:tcPr>
          <w:p w14:paraId="1881D42C" w14:textId="77777777" w:rsidR="00166BA7" w:rsidRPr="002D4271" w:rsidRDefault="00166BA7">
            <w:pPr>
              <w:rPr>
                <w:rFonts w:ascii="Arial Narrow" w:hAnsi="Arial Narrow"/>
                <w:b w:val="0"/>
                <w:bCs w:val="0"/>
                <w:sz w:val="20"/>
                <w:szCs w:val="20"/>
              </w:rPr>
            </w:pPr>
          </w:p>
        </w:tc>
        <w:tc>
          <w:tcPr>
            <w:tcW w:w="1268" w:type="pct"/>
            <w:vMerge/>
            <w:shd w:val="clear" w:color="auto" w:fill="auto"/>
            <w:vAlign w:val="center"/>
          </w:tcPr>
          <w:p w14:paraId="47B56723"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c>
          <w:tcPr>
            <w:tcW w:w="1390" w:type="pct"/>
            <w:shd w:val="clear" w:color="auto" w:fill="auto"/>
            <w:vAlign w:val="center"/>
          </w:tcPr>
          <w:p w14:paraId="513FD1EE" w14:textId="77777777" w:rsidR="002406BA" w:rsidRDefault="002406BA">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14:paraId="0570B764" w14:textId="77777777" w:rsidR="00166BA7"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2.2.6.1.b. Development of recommendations for regulatory incentives to promote green lending</w:t>
            </w:r>
          </w:p>
          <w:p w14:paraId="15428AAD" w14:textId="30589458" w:rsidR="002406BA" w:rsidRPr="002D4271" w:rsidRDefault="002406BA">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10" w:type="pct"/>
            <w:shd w:val="clear" w:color="auto" w:fill="auto"/>
            <w:vAlign w:val="center"/>
          </w:tcPr>
          <w:p w14:paraId="34CEC3F9"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2D4271">
              <w:rPr>
                <w:rFonts w:ascii="Arial Narrow" w:hAnsi="Arial Narrow" w:cs="Arial"/>
                <w:b/>
                <w:bCs/>
                <w:sz w:val="20"/>
                <w:szCs w:val="20"/>
                <w:lang w:val="en-GB"/>
              </w:rPr>
              <w:t xml:space="preserve">Barrier 4. </w:t>
            </w:r>
            <w:r w:rsidRPr="002D4271">
              <w:rPr>
                <w:rFonts w:ascii="Arial Narrow" w:hAnsi="Arial Narrow" w:cs="Arial"/>
                <w:sz w:val="20"/>
                <w:szCs w:val="20"/>
                <w:lang w:val="en-GB"/>
              </w:rPr>
              <w:t>Absence of incentives for financial institutions to promote green finance products</w:t>
            </w:r>
          </w:p>
        </w:tc>
      </w:tr>
      <w:tr w:rsidR="00166BA7" w:rsidRPr="002D4271" w14:paraId="14460516" w14:textId="77777777" w:rsidTr="00BE6F5F">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1233" w:type="pct"/>
            <w:shd w:val="clear" w:color="auto" w:fill="auto"/>
            <w:vAlign w:val="center"/>
          </w:tcPr>
          <w:p w14:paraId="069C80A4" w14:textId="77777777" w:rsidR="00166BA7" w:rsidRPr="002D4271" w:rsidRDefault="00166BA7">
            <w:pPr>
              <w:rPr>
                <w:rFonts w:ascii="Arial Narrow" w:hAnsi="Arial Narrow" w:cs="Arial"/>
                <w:sz w:val="20"/>
                <w:szCs w:val="20"/>
              </w:rPr>
            </w:pPr>
            <w:r w:rsidRPr="002D4271">
              <w:rPr>
                <w:rFonts w:ascii="Arial Narrow" w:hAnsi="Arial Narrow" w:cs="Arial"/>
                <w:sz w:val="20"/>
                <w:szCs w:val="20"/>
              </w:rPr>
              <w:t>Outcome 2.4. Strategies for transforming and attracting private sector investment for low emissions and resilience developed and being used.</w:t>
            </w:r>
          </w:p>
        </w:tc>
        <w:tc>
          <w:tcPr>
            <w:tcW w:w="1268" w:type="pct"/>
            <w:shd w:val="clear" w:color="auto" w:fill="auto"/>
            <w:vAlign w:val="center"/>
          </w:tcPr>
          <w:p w14:paraId="3CFFC3C2"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2D4271">
              <w:rPr>
                <w:rFonts w:ascii="Arial Narrow" w:hAnsi="Arial Narrow" w:cs="Arial"/>
                <w:sz w:val="20"/>
                <w:szCs w:val="20"/>
              </w:rPr>
              <w:t>Output 2.4.1. New business models incubated and/or innovative financial mechanisms and schemes created to increase low -emission and climate resilient investment.</w:t>
            </w:r>
          </w:p>
        </w:tc>
        <w:tc>
          <w:tcPr>
            <w:tcW w:w="1390" w:type="pct"/>
            <w:shd w:val="clear" w:color="auto" w:fill="auto"/>
            <w:vAlign w:val="center"/>
          </w:tcPr>
          <w:p w14:paraId="3B05BB73"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2.4.1.1.a. Piloting 3 sectoral financial products/programs</w:t>
            </w:r>
          </w:p>
        </w:tc>
        <w:tc>
          <w:tcPr>
            <w:tcW w:w="1110" w:type="pct"/>
            <w:shd w:val="clear" w:color="auto" w:fill="auto"/>
            <w:vAlign w:val="center"/>
          </w:tcPr>
          <w:p w14:paraId="6B576EE4" w14:textId="483CAC0E" w:rsidR="00166BA7" w:rsidRPr="00264DF5"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b/>
                <w:bCs/>
                <w:sz w:val="20"/>
                <w:szCs w:val="20"/>
              </w:rPr>
            </w:pPr>
            <w:r w:rsidRPr="002D4271">
              <w:rPr>
                <w:rFonts w:ascii="Arial Narrow" w:hAnsi="Arial Narrow"/>
                <w:b/>
                <w:bCs/>
                <w:sz w:val="20"/>
                <w:szCs w:val="20"/>
                <w:lang w:val="en-GB"/>
              </w:rPr>
              <w:t xml:space="preserve">Barrier 3. </w:t>
            </w:r>
            <w:r w:rsidRPr="002D4271">
              <w:rPr>
                <w:rFonts w:ascii="Arial Narrow" w:hAnsi="Arial Narrow"/>
                <w:sz w:val="20"/>
                <w:szCs w:val="20"/>
                <w:lang w:val="en-GB"/>
              </w:rPr>
              <w:t xml:space="preserve">The discrepancy between the current green finance supply and the demand for green products </w:t>
            </w:r>
          </w:p>
        </w:tc>
      </w:tr>
      <w:tr w:rsidR="00166BA7" w:rsidRPr="002D4271" w14:paraId="1A7E0B1D" w14:textId="77777777" w:rsidTr="00BE6F5F">
        <w:trPr>
          <w:cantSplit/>
          <w:trHeight w:val="20"/>
        </w:trPr>
        <w:tc>
          <w:tcPr>
            <w:cnfStyle w:val="001000000000" w:firstRow="0" w:lastRow="0" w:firstColumn="1" w:lastColumn="0" w:oddVBand="0" w:evenVBand="0" w:oddHBand="0" w:evenHBand="0" w:firstRowFirstColumn="0" w:firstRowLastColumn="0" w:lastRowFirstColumn="0" w:lastRowLastColumn="0"/>
            <w:tcW w:w="1233" w:type="pct"/>
            <w:shd w:val="clear" w:color="auto" w:fill="auto"/>
            <w:vAlign w:val="center"/>
          </w:tcPr>
          <w:p w14:paraId="5D3DE8E5" w14:textId="77777777" w:rsidR="00166BA7" w:rsidRPr="002D4271" w:rsidRDefault="00166BA7">
            <w:pPr>
              <w:rPr>
                <w:rFonts w:ascii="Arial Narrow" w:hAnsi="Arial Narrow" w:cs="Arial"/>
                <w:sz w:val="20"/>
                <w:szCs w:val="20"/>
              </w:rPr>
            </w:pPr>
            <w:r w:rsidRPr="002D4271">
              <w:rPr>
                <w:rFonts w:ascii="Arial Narrow" w:hAnsi="Arial Narrow" w:cs="Arial"/>
                <w:sz w:val="20"/>
                <w:szCs w:val="20"/>
              </w:rPr>
              <w:t>Outcome 4.1. Increase in the number of quality project concept notes developed and submitted.</w:t>
            </w:r>
          </w:p>
        </w:tc>
        <w:tc>
          <w:tcPr>
            <w:tcW w:w="1268" w:type="pct"/>
            <w:shd w:val="clear" w:color="auto" w:fill="auto"/>
            <w:vAlign w:val="center"/>
          </w:tcPr>
          <w:p w14:paraId="2B1C731B"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2D4271">
              <w:rPr>
                <w:rFonts w:ascii="Arial Narrow" w:hAnsi="Arial Narrow" w:cs="Arial"/>
                <w:sz w:val="20"/>
                <w:szCs w:val="20"/>
              </w:rPr>
              <w:t>Output 4.1.1. Concept notes for priority sectors developed with the support of the RPSP for submission to the GCF.</w:t>
            </w:r>
          </w:p>
        </w:tc>
        <w:tc>
          <w:tcPr>
            <w:tcW w:w="1390" w:type="pct"/>
            <w:shd w:val="clear" w:color="auto" w:fill="auto"/>
            <w:vAlign w:val="center"/>
          </w:tcPr>
          <w:p w14:paraId="7D78AB72" w14:textId="36BE3A7D"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 xml:space="preserve">Activity 4.1.1.1.a. Support to NDA (CFC) and DAE candidate to GCF in formulation a concept </w:t>
            </w:r>
            <w:r w:rsidR="002406BA" w:rsidRPr="002D4271">
              <w:rPr>
                <w:rFonts w:ascii="Arial Narrow" w:hAnsi="Arial Narrow"/>
                <w:sz w:val="20"/>
                <w:szCs w:val="20"/>
              </w:rPr>
              <w:t>note</w:t>
            </w:r>
            <w:r w:rsidR="002406BA">
              <w:rPr>
                <w:rFonts w:ascii="Arial Narrow" w:hAnsi="Arial Narrow"/>
                <w:sz w:val="20"/>
                <w:szCs w:val="20"/>
              </w:rPr>
              <w:t>.</w:t>
            </w:r>
          </w:p>
        </w:tc>
        <w:tc>
          <w:tcPr>
            <w:tcW w:w="1110" w:type="pct"/>
            <w:shd w:val="clear" w:color="auto" w:fill="auto"/>
            <w:vAlign w:val="center"/>
          </w:tcPr>
          <w:p w14:paraId="1956300C"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D4271">
              <w:rPr>
                <w:rFonts w:ascii="Arial Narrow" w:hAnsi="Arial Narrow"/>
                <w:b/>
                <w:bCs/>
                <w:sz w:val="20"/>
                <w:szCs w:val="20"/>
                <w:lang w:val="en-GB"/>
              </w:rPr>
              <w:t xml:space="preserve">Barrier 5. </w:t>
            </w:r>
            <w:r w:rsidRPr="002D4271">
              <w:rPr>
                <w:rFonts w:ascii="Arial Narrow" w:hAnsi="Arial Narrow"/>
                <w:sz w:val="20"/>
                <w:szCs w:val="20"/>
                <w:lang w:val="en-GB"/>
              </w:rPr>
              <w:t>Limited knowledge of financial institutions to access green finance for private sector</w:t>
            </w:r>
          </w:p>
        </w:tc>
      </w:tr>
      <w:tr w:rsidR="00166BA7" w:rsidRPr="002D4271" w14:paraId="1935B1F6" w14:textId="77777777" w:rsidTr="00BE6F5F">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val="restart"/>
            <w:shd w:val="clear" w:color="auto" w:fill="auto"/>
            <w:vAlign w:val="center"/>
          </w:tcPr>
          <w:p w14:paraId="707D0756" w14:textId="77777777" w:rsidR="00166BA7" w:rsidRPr="002D4271" w:rsidRDefault="00166BA7">
            <w:pPr>
              <w:rPr>
                <w:rFonts w:ascii="Arial Narrow" w:hAnsi="Arial Narrow" w:cs="Arial"/>
                <w:sz w:val="20"/>
                <w:szCs w:val="20"/>
              </w:rPr>
            </w:pPr>
            <w:r w:rsidRPr="002D4271">
              <w:rPr>
                <w:rFonts w:ascii="Arial Narrow" w:hAnsi="Arial Narrow" w:cs="Arial"/>
                <w:sz w:val="20"/>
                <w:szCs w:val="20"/>
              </w:rPr>
              <w:lastRenderedPageBreak/>
              <w:t>Outcome 5.1. Best practices with respect to institutional capacity building, direct access, and pipeline development are developed and disseminated to strengthen engagement by NDAs, DAEs, and delivery partners with the GCF.</w:t>
            </w:r>
          </w:p>
        </w:tc>
        <w:tc>
          <w:tcPr>
            <w:tcW w:w="1268" w:type="pct"/>
            <w:vMerge w:val="restart"/>
            <w:shd w:val="clear" w:color="auto" w:fill="auto"/>
            <w:vAlign w:val="center"/>
          </w:tcPr>
          <w:p w14:paraId="078F6A1A"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2D4271">
              <w:rPr>
                <w:rFonts w:ascii="Arial Narrow" w:hAnsi="Arial Narrow" w:cs="Arial"/>
                <w:sz w:val="20"/>
                <w:szCs w:val="20"/>
              </w:rPr>
              <w:t>Output 5.1.1. NDAs, DAEs, DPs have developed knowledge products containing information on LECRD, methodologies, lessons learned, or best practices extracted from within the country and from other countries (South-South cooperation).</w:t>
            </w:r>
          </w:p>
        </w:tc>
        <w:tc>
          <w:tcPr>
            <w:tcW w:w="1390" w:type="pct"/>
            <w:shd w:val="clear" w:color="auto" w:fill="auto"/>
            <w:vAlign w:val="center"/>
          </w:tcPr>
          <w:p w14:paraId="23E624AA"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5.1.1.2.a. Develop mapping and guidelines for mobilizing resources from relevant global green institutions</w:t>
            </w:r>
          </w:p>
        </w:tc>
        <w:tc>
          <w:tcPr>
            <w:tcW w:w="1110" w:type="pct"/>
            <w:shd w:val="clear" w:color="auto" w:fill="auto"/>
            <w:vAlign w:val="center"/>
          </w:tcPr>
          <w:p w14:paraId="4F195098"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2D4271">
              <w:rPr>
                <w:rFonts w:ascii="Arial Narrow" w:hAnsi="Arial Narrow"/>
                <w:b/>
                <w:bCs/>
                <w:sz w:val="20"/>
                <w:szCs w:val="20"/>
                <w:lang w:val="en-GB"/>
              </w:rPr>
              <w:t xml:space="preserve">Barrier 5. </w:t>
            </w:r>
            <w:r w:rsidRPr="002D4271">
              <w:rPr>
                <w:rFonts w:ascii="Arial Narrow" w:hAnsi="Arial Narrow"/>
                <w:sz w:val="20"/>
                <w:szCs w:val="20"/>
                <w:lang w:val="en-GB"/>
              </w:rPr>
              <w:t>Limited knowledge of financial institutions to access green finance for private sector</w:t>
            </w:r>
          </w:p>
        </w:tc>
      </w:tr>
      <w:tr w:rsidR="00166BA7" w:rsidRPr="002D4271" w14:paraId="2E1506C5" w14:textId="77777777" w:rsidTr="00BE6F5F">
        <w:trPr>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shd w:val="clear" w:color="auto" w:fill="auto"/>
            <w:vAlign w:val="center"/>
          </w:tcPr>
          <w:p w14:paraId="3BF8DC92" w14:textId="77777777" w:rsidR="00166BA7" w:rsidRPr="002D4271" w:rsidRDefault="00166BA7">
            <w:pPr>
              <w:rPr>
                <w:rFonts w:ascii="Arial Narrow" w:hAnsi="Arial Narrow"/>
                <w:b w:val="0"/>
                <w:bCs w:val="0"/>
                <w:sz w:val="20"/>
                <w:szCs w:val="20"/>
              </w:rPr>
            </w:pPr>
          </w:p>
        </w:tc>
        <w:tc>
          <w:tcPr>
            <w:tcW w:w="1268" w:type="pct"/>
            <w:vMerge/>
            <w:shd w:val="clear" w:color="auto" w:fill="auto"/>
            <w:vAlign w:val="center"/>
          </w:tcPr>
          <w:p w14:paraId="55329B57"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c>
          <w:tcPr>
            <w:tcW w:w="1390" w:type="pct"/>
            <w:shd w:val="clear" w:color="auto" w:fill="auto"/>
            <w:vAlign w:val="center"/>
          </w:tcPr>
          <w:p w14:paraId="117E2B54"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5.1.1.2.b. Develop tailored recommendations for the targeted financial institutions to access green finance</w:t>
            </w:r>
          </w:p>
        </w:tc>
        <w:tc>
          <w:tcPr>
            <w:tcW w:w="1110" w:type="pct"/>
            <w:shd w:val="clear" w:color="auto" w:fill="auto"/>
            <w:vAlign w:val="center"/>
          </w:tcPr>
          <w:p w14:paraId="3050FD60"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D4271">
              <w:rPr>
                <w:rFonts w:ascii="Arial Narrow" w:hAnsi="Arial Narrow"/>
                <w:b/>
                <w:bCs/>
                <w:sz w:val="20"/>
                <w:szCs w:val="20"/>
                <w:lang w:val="en-GB"/>
              </w:rPr>
              <w:t xml:space="preserve">Barrier 5. </w:t>
            </w:r>
            <w:r w:rsidRPr="002D4271">
              <w:rPr>
                <w:rFonts w:ascii="Arial Narrow" w:hAnsi="Arial Narrow"/>
                <w:sz w:val="20"/>
                <w:szCs w:val="20"/>
                <w:lang w:val="en-GB"/>
              </w:rPr>
              <w:t>Limited knowledge of financial institutions to access green finance for private sector</w:t>
            </w:r>
          </w:p>
        </w:tc>
      </w:tr>
      <w:tr w:rsidR="00166BA7" w:rsidRPr="002D4271" w14:paraId="5B0D32EF" w14:textId="77777777" w:rsidTr="00BE6F5F">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shd w:val="clear" w:color="auto" w:fill="auto"/>
            <w:vAlign w:val="center"/>
          </w:tcPr>
          <w:p w14:paraId="77B18490" w14:textId="77777777" w:rsidR="00166BA7" w:rsidRPr="002D4271" w:rsidRDefault="00166BA7">
            <w:pPr>
              <w:rPr>
                <w:rFonts w:ascii="Arial Narrow" w:hAnsi="Arial Narrow"/>
                <w:b w:val="0"/>
                <w:bCs w:val="0"/>
                <w:sz w:val="20"/>
                <w:szCs w:val="20"/>
              </w:rPr>
            </w:pPr>
          </w:p>
        </w:tc>
        <w:tc>
          <w:tcPr>
            <w:tcW w:w="1268" w:type="pct"/>
            <w:vMerge/>
            <w:shd w:val="clear" w:color="auto" w:fill="auto"/>
            <w:vAlign w:val="center"/>
          </w:tcPr>
          <w:p w14:paraId="70376FB6"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p>
        </w:tc>
        <w:tc>
          <w:tcPr>
            <w:tcW w:w="1390" w:type="pct"/>
            <w:shd w:val="clear" w:color="auto" w:fill="auto"/>
            <w:vAlign w:val="center"/>
          </w:tcPr>
          <w:p w14:paraId="19C58C6F"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5.1.1.2.c. Develop internal regulatory standards on green finance for financial institutions</w:t>
            </w:r>
          </w:p>
        </w:tc>
        <w:tc>
          <w:tcPr>
            <w:tcW w:w="1110" w:type="pct"/>
            <w:shd w:val="clear" w:color="auto" w:fill="auto"/>
            <w:vAlign w:val="center"/>
          </w:tcPr>
          <w:p w14:paraId="4AA946C8"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2D4271">
              <w:rPr>
                <w:rFonts w:ascii="Arial Narrow" w:hAnsi="Arial Narrow"/>
                <w:b/>
                <w:bCs/>
                <w:sz w:val="20"/>
                <w:szCs w:val="20"/>
                <w:lang w:val="en-GB"/>
              </w:rPr>
              <w:t xml:space="preserve">Barrier 5. </w:t>
            </w:r>
            <w:r w:rsidRPr="002D4271">
              <w:rPr>
                <w:rFonts w:ascii="Arial Narrow" w:hAnsi="Arial Narrow"/>
                <w:sz w:val="20"/>
                <w:szCs w:val="20"/>
                <w:lang w:val="en-GB"/>
              </w:rPr>
              <w:t>Limited knowledge of financial institutions to access green finance for private sector</w:t>
            </w:r>
          </w:p>
        </w:tc>
      </w:tr>
      <w:tr w:rsidR="00166BA7" w:rsidRPr="002D4271" w14:paraId="4902A083" w14:textId="77777777" w:rsidTr="00BE6F5F">
        <w:trPr>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shd w:val="clear" w:color="auto" w:fill="auto"/>
            <w:vAlign w:val="center"/>
          </w:tcPr>
          <w:p w14:paraId="2467D138" w14:textId="77777777" w:rsidR="00166BA7" w:rsidRPr="002D4271" w:rsidRDefault="00166BA7">
            <w:pPr>
              <w:rPr>
                <w:rFonts w:ascii="Arial Narrow" w:hAnsi="Arial Narrow"/>
                <w:b w:val="0"/>
                <w:bCs w:val="0"/>
                <w:sz w:val="20"/>
                <w:szCs w:val="20"/>
              </w:rPr>
            </w:pPr>
          </w:p>
        </w:tc>
        <w:tc>
          <w:tcPr>
            <w:tcW w:w="1268" w:type="pct"/>
            <w:vMerge/>
            <w:shd w:val="clear" w:color="auto" w:fill="auto"/>
            <w:vAlign w:val="center"/>
          </w:tcPr>
          <w:p w14:paraId="3DD21561"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c>
          <w:tcPr>
            <w:tcW w:w="1390" w:type="pct"/>
            <w:shd w:val="clear" w:color="auto" w:fill="auto"/>
            <w:vAlign w:val="center"/>
          </w:tcPr>
          <w:p w14:paraId="3F8B0161"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5.1.1.2.d. Analysis of available derisking solutions for green financial products</w:t>
            </w:r>
          </w:p>
        </w:tc>
        <w:tc>
          <w:tcPr>
            <w:tcW w:w="1110" w:type="pct"/>
            <w:shd w:val="clear" w:color="auto" w:fill="auto"/>
            <w:vAlign w:val="center"/>
          </w:tcPr>
          <w:p w14:paraId="52C0C998" w14:textId="77777777" w:rsidR="00166BA7" w:rsidRPr="002D4271" w:rsidRDefault="00166BA7">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2D4271">
              <w:rPr>
                <w:rFonts w:ascii="Arial Narrow" w:hAnsi="Arial Narrow"/>
                <w:b/>
                <w:bCs/>
                <w:sz w:val="20"/>
                <w:szCs w:val="20"/>
                <w:lang w:val="en-GB"/>
              </w:rPr>
              <w:t xml:space="preserve">Barrier 5. </w:t>
            </w:r>
            <w:r w:rsidRPr="002D4271">
              <w:rPr>
                <w:rFonts w:ascii="Arial Narrow" w:hAnsi="Arial Narrow"/>
                <w:sz w:val="20"/>
                <w:szCs w:val="20"/>
                <w:lang w:val="en-GB"/>
              </w:rPr>
              <w:t>Limited knowledge of financial institutions to access green finance for private sector</w:t>
            </w:r>
            <w:r w:rsidRPr="002D4271">
              <w:rPr>
                <w:rFonts w:ascii="Arial Narrow" w:hAnsi="Arial Narrow"/>
                <w:b/>
                <w:bCs/>
                <w:sz w:val="20"/>
                <w:szCs w:val="20"/>
                <w:lang w:val="en-GB"/>
              </w:rPr>
              <w:t xml:space="preserve"> </w:t>
            </w:r>
          </w:p>
        </w:tc>
      </w:tr>
      <w:tr w:rsidR="00166BA7" w:rsidRPr="007D4036" w14:paraId="266B1DA2" w14:textId="77777777" w:rsidTr="00BE6F5F">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1233" w:type="pct"/>
            <w:vMerge/>
            <w:shd w:val="clear" w:color="auto" w:fill="auto"/>
            <w:vAlign w:val="center"/>
          </w:tcPr>
          <w:p w14:paraId="04D4A8B2" w14:textId="77777777" w:rsidR="00166BA7" w:rsidRPr="002D4271" w:rsidRDefault="00166BA7">
            <w:pPr>
              <w:rPr>
                <w:rFonts w:ascii="Arial Narrow" w:hAnsi="Arial Narrow"/>
                <w:b w:val="0"/>
                <w:bCs w:val="0"/>
                <w:sz w:val="20"/>
                <w:szCs w:val="20"/>
              </w:rPr>
            </w:pPr>
          </w:p>
        </w:tc>
        <w:tc>
          <w:tcPr>
            <w:tcW w:w="1268" w:type="pct"/>
            <w:shd w:val="clear" w:color="auto" w:fill="auto"/>
            <w:vAlign w:val="center"/>
          </w:tcPr>
          <w:p w14:paraId="6D5865BD"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2D4271">
              <w:rPr>
                <w:rFonts w:ascii="Arial Narrow" w:hAnsi="Arial Narrow" w:cs="Arial"/>
                <w:sz w:val="20"/>
                <w:szCs w:val="20"/>
              </w:rPr>
              <w:t>Output 5.1.2. NDAs/DAEs/ DPs who have established process, systems and/or platforms for identification of best practices, lessons learned and Knowledge Management.</w:t>
            </w:r>
          </w:p>
        </w:tc>
        <w:tc>
          <w:tcPr>
            <w:tcW w:w="1390" w:type="pct"/>
            <w:shd w:val="clear" w:color="auto" w:fill="auto"/>
            <w:vAlign w:val="center"/>
          </w:tcPr>
          <w:p w14:paraId="734402E3"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2D4271">
              <w:rPr>
                <w:rFonts w:ascii="Arial Narrow" w:hAnsi="Arial Narrow"/>
                <w:sz w:val="20"/>
                <w:szCs w:val="20"/>
              </w:rPr>
              <w:t>Activity 5.1.2.2.a. Facilitate knowledge exchange on green financial products</w:t>
            </w:r>
          </w:p>
        </w:tc>
        <w:tc>
          <w:tcPr>
            <w:tcW w:w="1110" w:type="pct"/>
            <w:shd w:val="clear" w:color="auto" w:fill="auto"/>
            <w:vAlign w:val="center"/>
          </w:tcPr>
          <w:p w14:paraId="132FA8CB" w14:textId="77777777" w:rsidR="00166BA7" w:rsidRPr="002D4271" w:rsidRDefault="00166BA7">
            <w:pPr>
              <w:cnfStyle w:val="000000100000" w:firstRow="0" w:lastRow="0" w:firstColumn="0" w:lastColumn="0" w:oddVBand="0" w:evenVBand="0" w:oddHBand="1" w:evenHBand="0" w:firstRowFirstColumn="0" w:firstRowLastColumn="0" w:lastRowFirstColumn="0" w:lastRowLastColumn="0"/>
              <w:rPr>
                <w:rFonts w:ascii="Arial Narrow" w:hAnsi="Arial Narrow"/>
                <w:b/>
                <w:bCs/>
                <w:sz w:val="20"/>
                <w:szCs w:val="20"/>
                <w:lang w:val="en-GB"/>
              </w:rPr>
            </w:pPr>
            <w:r w:rsidRPr="002D4271">
              <w:rPr>
                <w:rFonts w:ascii="Arial Narrow" w:hAnsi="Arial Narrow"/>
                <w:b/>
                <w:bCs/>
                <w:sz w:val="20"/>
                <w:szCs w:val="20"/>
                <w:lang w:val="en-GB"/>
              </w:rPr>
              <w:t xml:space="preserve">Barrier 5. </w:t>
            </w:r>
            <w:r w:rsidRPr="002D4271">
              <w:rPr>
                <w:rFonts w:ascii="Arial Narrow" w:hAnsi="Arial Narrow"/>
                <w:sz w:val="20"/>
                <w:szCs w:val="20"/>
                <w:lang w:val="en-GB"/>
              </w:rPr>
              <w:t>Limited knowledge of financial institutions to access green finance for private sector</w:t>
            </w:r>
          </w:p>
        </w:tc>
      </w:tr>
    </w:tbl>
    <w:p w14:paraId="35044402" w14:textId="77777777" w:rsidR="00166BA7" w:rsidRDefault="00166BA7" w:rsidP="00BB234B">
      <w:pPr>
        <w:spacing w:before="120" w:after="120" w:line="240" w:lineRule="auto"/>
        <w:ind w:right="-29"/>
        <w:jc w:val="both"/>
        <w:rPr>
          <w:sz w:val="20"/>
          <w:szCs w:val="20"/>
        </w:rPr>
      </w:pPr>
    </w:p>
    <w:p w14:paraId="3348659E" w14:textId="77777777" w:rsidR="00BE6F5F" w:rsidRDefault="00BE6F5F" w:rsidP="00BE6F5F">
      <w:pPr>
        <w:spacing w:line="278" w:lineRule="auto"/>
        <w:rPr>
          <w:rFonts w:ascii="Arial" w:hAnsi="Arial" w:cs="Arial"/>
          <w:sz w:val="20"/>
          <w:szCs w:val="20"/>
        </w:rPr>
      </w:pPr>
      <w:r w:rsidRPr="00020708">
        <w:rPr>
          <w:rFonts w:ascii="Arial" w:hAnsi="Arial" w:cs="Arial"/>
          <w:b/>
          <w:bCs/>
          <w:sz w:val="20"/>
          <w:szCs w:val="20"/>
        </w:rPr>
        <w:t>Risks.</w:t>
      </w:r>
      <w:r>
        <w:rPr>
          <w:rFonts w:ascii="Arial" w:hAnsi="Arial" w:cs="Arial"/>
          <w:sz w:val="20"/>
          <w:szCs w:val="20"/>
        </w:rPr>
        <w:t xml:space="preserve"> The identified risks for </w:t>
      </w:r>
      <w:r w:rsidRPr="00E22529">
        <w:rPr>
          <w:rFonts w:ascii="Arial" w:hAnsi="Arial" w:cs="Arial"/>
          <w:sz w:val="20"/>
          <w:szCs w:val="20"/>
        </w:rPr>
        <w:t>the implementation of this grant</w:t>
      </w:r>
      <w:r>
        <w:rPr>
          <w:rFonts w:ascii="Arial" w:hAnsi="Arial" w:cs="Arial"/>
          <w:sz w:val="20"/>
          <w:szCs w:val="20"/>
        </w:rPr>
        <w:t xml:space="preserve"> include:</w:t>
      </w:r>
    </w:p>
    <w:p w14:paraId="7B6F3084" w14:textId="690FA28E" w:rsidR="00BE6F5F" w:rsidRPr="00B84427" w:rsidRDefault="00BE6F5F" w:rsidP="00B84427">
      <w:pPr>
        <w:pStyle w:val="ListParagraph"/>
        <w:numPr>
          <w:ilvl w:val="0"/>
          <w:numId w:val="29"/>
        </w:numPr>
        <w:spacing w:line="278" w:lineRule="auto"/>
        <w:jc w:val="both"/>
        <w:rPr>
          <w:rFonts w:ascii="Arial" w:hAnsi="Arial" w:cs="Arial"/>
          <w:sz w:val="20"/>
          <w:szCs w:val="20"/>
        </w:rPr>
      </w:pPr>
      <w:r w:rsidRPr="00B84427">
        <w:rPr>
          <w:rFonts w:ascii="Arial" w:hAnsi="Arial" w:cs="Arial"/>
          <w:sz w:val="20"/>
          <w:szCs w:val="20"/>
        </w:rPr>
        <w:t xml:space="preserve">Risk 1. </w:t>
      </w:r>
      <w:r w:rsidRPr="00B84427">
        <w:rPr>
          <w:rFonts w:ascii="Arial" w:hAnsi="Arial" w:cs="Arial"/>
          <w:b/>
          <w:bCs/>
          <w:sz w:val="20"/>
          <w:szCs w:val="20"/>
          <w:lang w:val="en-AU"/>
        </w:rPr>
        <w:t>Change of national authorities</w:t>
      </w:r>
      <w:r w:rsidRPr="00B84427">
        <w:rPr>
          <w:rFonts w:ascii="Arial" w:hAnsi="Arial" w:cs="Arial"/>
          <w:sz w:val="20"/>
          <w:szCs w:val="20"/>
          <w:lang w:val="en-AU"/>
        </w:rPr>
        <w:t xml:space="preserve"> during grant implementation may lead to lack of support of the project’s activities. </w:t>
      </w:r>
      <w:r w:rsidRPr="00B84427">
        <w:rPr>
          <w:rFonts w:ascii="Arial" w:hAnsi="Arial" w:cs="Arial"/>
          <w:sz w:val="20"/>
          <w:szCs w:val="20"/>
        </w:rPr>
        <w:t>Political transitions can lead to reduced project support due to changes in leadership and priorities. This risk is mitigated by ensuring high-level stakeholder engagement, conducting capacity-building workshops, and embedding institutional memory through detailed work plans and documentation. Regular updates and dialogues with government representatives will sustain political buy-in throughout project implementation.</w:t>
      </w:r>
    </w:p>
    <w:p w14:paraId="73A53B26" w14:textId="189286A3" w:rsidR="00BE6F5F" w:rsidRPr="00B84427" w:rsidRDefault="00BE6F5F" w:rsidP="00B84427">
      <w:pPr>
        <w:pStyle w:val="ListParagraph"/>
        <w:numPr>
          <w:ilvl w:val="0"/>
          <w:numId w:val="29"/>
        </w:numPr>
        <w:spacing w:line="278" w:lineRule="auto"/>
        <w:jc w:val="both"/>
        <w:rPr>
          <w:rFonts w:ascii="Arial" w:hAnsi="Arial" w:cs="Arial"/>
          <w:sz w:val="20"/>
          <w:szCs w:val="20"/>
        </w:rPr>
      </w:pPr>
      <w:r w:rsidRPr="00B84427">
        <w:rPr>
          <w:rFonts w:ascii="Arial" w:hAnsi="Arial" w:cs="Arial"/>
          <w:sz w:val="20"/>
          <w:szCs w:val="20"/>
        </w:rPr>
        <w:t xml:space="preserve">Risk 2. </w:t>
      </w:r>
      <w:r w:rsidRPr="00B84427">
        <w:rPr>
          <w:rFonts w:ascii="Arial" w:hAnsi="Arial" w:cs="Arial"/>
          <w:b/>
          <w:bCs/>
          <w:sz w:val="20"/>
          <w:szCs w:val="20"/>
        </w:rPr>
        <w:t>Collapse of interests</w:t>
      </w:r>
      <w:r w:rsidRPr="00B84427">
        <w:rPr>
          <w:rFonts w:ascii="Arial" w:hAnsi="Arial" w:cs="Arial"/>
          <w:sz w:val="20"/>
          <w:szCs w:val="20"/>
        </w:rPr>
        <w:t xml:space="preserve"> between different categories of stakeholders which may cause of lack of coordination engagement. Diverse stakeholder groups with varying priorities may create coordination challenges. To address this, the project facilitates regular stakeholder dialogues led by the NDA and ensures technical support with clearly defined roles and responsibilities. Participatory approaches will enhance inclusivity and evidence-based policy formulation, minimizing conflicts of interest.</w:t>
      </w:r>
    </w:p>
    <w:p w14:paraId="24DB231B" w14:textId="3521273C" w:rsidR="00BE6F5F" w:rsidRPr="00B84427" w:rsidRDefault="00BE6F5F" w:rsidP="00B84427">
      <w:pPr>
        <w:pStyle w:val="ListParagraph"/>
        <w:numPr>
          <w:ilvl w:val="0"/>
          <w:numId w:val="29"/>
        </w:numPr>
        <w:spacing w:line="278" w:lineRule="auto"/>
        <w:jc w:val="both"/>
        <w:rPr>
          <w:rFonts w:ascii="Arial" w:hAnsi="Arial" w:cs="Arial"/>
          <w:sz w:val="20"/>
          <w:szCs w:val="20"/>
        </w:rPr>
      </w:pPr>
      <w:r w:rsidRPr="00B84427">
        <w:rPr>
          <w:rFonts w:ascii="Arial" w:hAnsi="Arial" w:cs="Arial"/>
          <w:sz w:val="20"/>
          <w:szCs w:val="20"/>
        </w:rPr>
        <w:t xml:space="preserve">Risk 3. </w:t>
      </w:r>
      <w:r w:rsidRPr="00B84427">
        <w:rPr>
          <w:rFonts w:ascii="Arial" w:hAnsi="Arial" w:cs="Arial"/>
          <w:b/>
          <w:bCs/>
          <w:sz w:val="20"/>
          <w:szCs w:val="20"/>
        </w:rPr>
        <w:t>High staff turnover rates</w:t>
      </w:r>
      <w:r w:rsidRPr="00B84427">
        <w:rPr>
          <w:rFonts w:ascii="Arial" w:hAnsi="Arial" w:cs="Arial"/>
          <w:sz w:val="20"/>
          <w:szCs w:val="20"/>
        </w:rPr>
        <w:t>, Frequent staff changes in government agencies risk knowledge gaps and capacity discontinuity. This is mitigated by storing training materials and video tutorials for future use. Additionally, UNDP and the NDA will remain flexible to institutional shifts, ensuring continuous support and capacity reinforcement through periodic training sessions.</w:t>
      </w:r>
    </w:p>
    <w:p w14:paraId="493F3927" w14:textId="77777777" w:rsidR="00B84427" w:rsidRPr="00B84427" w:rsidRDefault="00BE6F5F">
      <w:pPr>
        <w:pStyle w:val="ListParagraph"/>
        <w:numPr>
          <w:ilvl w:val="0"/>
          <w:numId w:val="29"/>
        </w:numPr>
        <w:spacing w:line="278" w:lineRule="auto"/>
        <w:jc w:val="both"/>
        <w:rPr>
          <w:rFonts w:ascii="Arial" w:hAnsi="Arial"/>
          <w:bCs/>
          <w:color w:val="000000" w:themeColor="text1"/>
          <w:sz w:val="20"/>
          <w:szCs w:val="20"/>
        </w:rPr>
      </w:pPr>
      <w:r w:rsidRPr="00B84427">
        <w:rPr>
          <w:rFonts w:ascii="Arial" w:hAnsi="Arial" w:cs="Arial"/>
          <w:sz w:val="20"/>
          <w:szCs w:val="20"/>
        </w:rPr>
        <w:t xml:space="preserve">Risk 4. </w:t>
      </w:r>
      <w:r w:rsidRPr="00B84427">
        <w:rPr>
          <w:rFonts w:ascii="Arial" w:hAnsi="Arial"/>
          <w:b/>
          <w:bCs/>
          <w:sz w:val="20"/>
          <w:szCs w:val="20"/>
          <w:lang w:val="en-AU"/>
        </w:rPr>
        <w:t>Delays in arrangements</w:t>
      </w:r>
      <w:r w:rsidRPr="00B84427">
        <w:rPr>
          <w:rFonts w:ascii="Arial" w:hAnsi="Arial"/>
          <w:sz w:val="20"/>
          <w:szCs w:val="20"/>
          <w:lang w:val="en-AU"/>
        </w:rPr>
        <w:t xml:space="preserve"> to start project implementation including firm consultancies procurement and human resources recruitment.</w:t>
      </w:r>
      <w:r w:rsidRPr="00B84427">
        <w:rPr>
          <w:rFonts w:ascii="Arial" w:hAnsi="Arial" w:cs="Arial"/>
          <w:sz w:val="20"/>
          <w:szCs w:val="20"/>
        </w:rPr>
        <w:t xml:space="preserve"> Administrative bottlenecks in consultant and contractor recruitment could hinder timely project execution. Pre-prepared Terms of Reference and alternative procurement methods, such as leveraging the UNDP roster, will expedite these processes. A detailed multi-year work plan will distribute the workload evenly, preventing resource concentration during critical phases.</w:t>
      </w:r>
    </w:p>
    <w:p w14:paraId="0F59622F" w14:textId="77777777" w:rsidR="00A420DE" w:rsidRDefault="00BE6F5F">
      <w:pPr>
        <w:pStyle w:val="ListParagraph"/>
        <w:numPr>
          <w:ilvl w:val="0"/>
          <w:numId w:val="29"/>
        </w:numPr>
        <w:spacing w:line="278" w:lineRule="auto"/>
        <w:jc w:val="both"/>
        <w:rPr>
          <w:rFonts w:ascii="Arial" w:hAnsi="Arial"/>
          <w:bCs/>
          <w:color w:val="000000" w:themeColor="text1"/>
          <w:sz w:val="20"/>
          <w:szCs w:val="20"/>
        </w:rPr>
      </w:pPr>
      <w:r w:rsidRPr="00A420DE">
        <w:rPr>
          <w:rFonts w:ascii="Arial" w:hAnsi="Arial" w:cs="Arial"/>
          <w:sz w:val="20"/>
          <w:szCs w:val="20"/>
        </w:rPr>
        <w:lastRenderedPageBreak/>
        <w:t xml:space="preserve">Risk 5. </w:t>
      </w:r>
      <w:r w:rsidRPr="00A420DE">
        <w:rPr>
          <w:rFonts w:ascii="Arial" w:hAnsi="Arial"/>
          <w:b/>
          <w:color w:val="000000" w:themeColor="text1"/>
          <w:sz w:val="20"/>
          <w:szCs w:val="20"/>
        </w:rPr>
        <w:t xml:space="preserve">Volatility of currency. </w:t>
      </w:r>
      <w:r w:rsidRPr="00A420DE">
        <w:rPr>
          <w:rFonts w:ascii="Arial" w:hAnsi="Arial"/>
          <w:bCs/>
          <w:color w:val="000000" w:themeColor="text1"/>
          <w:sz w:val="20"/>
          <w:szCs w:val="20"/>
        </w:rPr>
        <w:t>Exchange rate fluctuations could disrupt vendor payments and project budgeting. UNDP will adapt contracts with currency adjustment clauses to reflect current exchange rates, ensuring financial stability in procurement and operations.</w:t>
      </w:r>
    </w:p>
    <w:p w14:paraId="101105A3" w14:textId="77777777" w:rsidR="00A420DE" w:rsidRPr="00A420DE" w:rsidRDefault="00BE6F5F">
      <w:pPr>
        <w:pStyle w:val="ListParagraph"/>
        <w:numPr>
          <w:ilvl w:val="0"/>
          <w:numId w:val="29"/>
        </w:numPr>
        <w:spacing w:line="278" w:lineRule="auto"/>
        <w:jc w:val="both"/>
        <w:rPr>
          <w:rFonts w:ascii="Arial" w:hAnsi="Arial" w:cs="Arial"/>
          <w:sz w:val="20"/>
          <w:szCs w:val="20"/>
        </w:rPr>
      </w:pPr>
      <w:r w:rsidRPr="00A420DE">
        <w:rPr>
          <w:rFonts w:ascii="Arial" w:hAnsi="Arial"/>
          <w:bCs/>
          <w:color w:val="000000" w:themeColor="text1"/>
          <w:sz w:val="20"/>
          <w:szCs w:val="20"/>
        </w:rPr>
        <w:t>Risk</w:t>
      </w:r>
      <w:r w:rsidRPr="00A420DE">
        <w:rPr>
          <w:rFonts w:ascii="Arial" w:hAnsi="Arial" w:cs="Arial"/>
          <w:bCs/>
          <w:color w:val="000000" w:themeColor="text1"/>
          <w:sz w:val="20"/>
          <w:szCs w:val="20"/>
        </w:rPr>
        <w:t xml:space="preserve"> 6. </w:t>
      </w:r>
      <w:r w:rsidRPr="00A420DE">
        <w:rPr>
          <w:rFonts w:ascii="Arial" w:hAnsi="Arial" w:cs="Arial"/>
          <w:b/>
          <w:bCs/>
          <w:color w:val="000000" w:themeColor="text1"/>
          <w:sz w:val="20"/>
          <w:szCs w:val="20"/>
        </w:rPr>
        <w:t>Limited availability of experienced national and international consultants</w:t>
      </w:r>
      <w:r w:rsidRPr="00A420DE">
        <w:rPr>
          <w:rFonts w:ascii="Arial" w:hAnsi="Arial" w:cs="Arial"/>
          <w:b/>
          <w:bCs/>
          <w:color w:val="000000" w:themeColor="text1"/>
          <w:sz w:val="20"/>
          <w:szCs w:val="20"/>
          <w:lang w:val="en-GB"/>
        </w:rPr>
        <w:t xml:space="preserve"> </w:t>
      </w:r>
      <w:r w:rsidRPr="00A420DE">
        <w:rPr>
          <w:rFonts w:ascii="Arial" w:hAnsi="Arial" w:cs="Arial"/>
          <w:color w:val="000000" w:themeColor="text1"/>
          <w:sz w:val="20"/>
          <w:szCs w:val="20"/>
        </w:rPr>
        <w:t>and consulting companies, to develop the project outputs efficiently.</w:t>
      </w:r>
      <w:r w:rsidRPr="00A420DE">
        <w:rPr>
          <w:rFonts w:ascii="Arial" w:hAnsi="Arial" w:cs="Arial"/>
          <w:bCs/>
          <w:color w:val="000000" w:themeColor="text1"/>
          <w:sz w:val="20"/>
          <w:szCs w:val="20"/>
        </w:rPr>
        <w:t xml:space="preserve"> The scarcity of experienced national and international consultants may affect output quality. UNDP will collaborate with other country offices and regional experts, utilizing rosters and partnerships to bridge knowledge gaps. Regular procurement meetings will streamline contractor engagement and ensure alignment with</w:t>
      </w:r>
      <w:r w:rsidRPr="00A420DE">
        <w:rPr>
          <w:rFonts w:ascii="Arial" w:hAnsi="Arial"/>
          <w:bCs/>
          <w:color w:val="000000" w:themeColor="text1"/>
          <w:sz w:val="20"/>
          <w:szCs w:val="20"/>
        </w:rPr>
        <w:t xml:space="preserve"> project goals.</w:t>
      </w:r>
    </w:p>
    <w:p w14:paraId="6FA5EDDD" w14:textId="67BE7164" w:rsidR="00BE6F5F" w:rsidRPr="00A420DE" w:rsidRDefault="00BE6F5F">
      <w:pPr>
        <w:pStyle w:val="ListParagraph"/>
        <w:numPr>
          <w:ilvl w:val="0"/>
          <w:numId w:val="29"/>
        </w:numPr>
        <w:spacing w:line="278" w:lineRule="auto"/>
        <w:jc w:val="both"/>
        <w:rPr>
          <w:rFonts w:ascii="Arial" w:hAnsi="Arial" w:cs="Arial"/>
          <w:sz w:val="20"/>
          <w:szCs w:val="20"/>
        </w:rPr>
      </w:pPr>
      <w:r w:rsidRPr="00A420DE">
        <w:rPr>
          <w:rFonts w:ascii="Arial" w:hAnsi="Arial"/>
          <w:b/>
          <w:color w:val="000000" w:themeColor="text1"/>
          <w:sz w:val="20"/>
          <w:szCs w:val="20"/>
        </w:rPr>
        <w:t>Assumptions</w:t>
      </w:r>
      <w:r w:rsidRPr="00A420DE">
        <w:rPr>
          <w:rFonts w:ascii="Arial" w:hAnsi="Arial"/>
          <w:bCs/>
          <w:color w:val="000000" w:themeColor="text1"/>
          <w:sz w:val="20"/>
          <w:szCs w:val="20"/>
        </w:rPr>
        <w:t>. The proposal is based on key assumptions: political commitment to green finance remains stable, and demand for green finance products is sustained in the medium- and long-term. While Kyrgyzstan has yet to fully utilize global green finance resources, targeted efforts will help align with international funding opportunities. The financial regulator is assumed to support incentives like reduced prudential standards for green lending, fostering financial sector engagement. The Climate Finance Center is expected to continue its coordinating role, ensuring alignment and capacity-building among stakeholders. Finally, the government’s fiscal position is assumed to stay strong, allowing for continued investments through the State Development Bank to promote green finance and attract private sector involvement. These assumptions provide a framework for scaling up green finance to meet the country’s climate and development priorities.</w:t>
      </w:r>
    </w:p>
    <w:p w14:paraId="4A8A360D" w14:textId="77777777" w:rsidR="00BE6F5F" w:rsidRPr="00264DF5" w:rsidRDefault="00BE6F5F" w:rsidP="00BB234B">
      <w:pPr>
        <w:spacing w:before="120" w:after="120" w:line="240" w:lineRule="auto"/>
        <w:ind w:right="-29"/>
        <w:jc w:val="both"/>
        <w:rPr>
          <w:sz w:val="20"/>
          <w:szCs w:val="20"/>
        </w:rPr>
      </w:pPr>
    </w:p>
    <w:p w14:paraId="0E337294" w14:textId="2A97304F" w:rsidR="008E4560" w:rsidRPr="0036320F" w:rsidRDefault="00F97840" w:rsidP="0036320F">
      <w:pPr>
        <w:pStyle w:val="Heading3"/>
      </w:pPr>
      <w:bookmarkStart w:id="7" w:name="_Toc118216352"/>
      <w:bookmarkStart w:id="8" w:name="_Toc119587227"/>
      <w:r w:rsidRPr="00F97840">
        <w:t>Section 4. Logical framework</w:t>
      </w:r>
      <w:bookmarkEnd w:id="7"/>
      <w:bookmarkEnd w:id="8"/>
      <w:r w:rsidR="001D452B">
        <w:t xml:space="preserve"> </w:t>
      </w:r>
    </w:p>
    <w:p w14:paraId="7193F4FF" w14:textId="4CD553E3" w:rsidR="00DF2227" w:rsidRDefault="00DF2227" w:rsidP="00DF2227">
      <w:pPr>
        <w:spacing w:before="120" w:after="120" w:line="240" w:lineRule="auto"/>
        <w:jc w:val="both"/>
        <w:rPr>
          <w:color w:val="000000" w:themeColor="text1"/>
          <w:sz w:val="20"/>
          <w:szCs w:val="20"/>
        </w:rPr>
      </w:pPr>
      <w:r w:rsidRPr="00DF2227">
        <w:rPr>
          <w:color w:val="000000" w:themeColor="text1"/>
          <w:sz w:val="20"/>
          <w:szCs w:val="20"/>
        </w:rPr>
        <w:t>Please see the document provided separately.</w:t>
      </w:r>
    </w:p>
    <w:p w14:paraId="66F3D28B" w14:textId="77777777" w:rsidR="00DF2227" w:rsidRPr="00DF2227" w:rsidRDefault="00DF2227" w:rsidP="00DF2227">
      <w:pPr>
        <w:spacing w:before="120" w:after="120" w:line="240" w:lineRule="auto"/>
        <w:jc w:val="both"/>
        <w:rPr>
          <w:color w:val="000000" w:themeColor="text1"/>
          <w:sz w:val="20"/>
          <w:szCs w:val="20"/>
        </w:rPr>
      </w:pPr>
    </w:p>
    <w:p w14:paraId="4BE32F41" w14:textId="23E40271" w:rsidR="00F97840" w:rsidRPr="00264DF5" w:rsidRDefault="00F97840" w:rsidP="00F97840">
      <w:pPr>
        <w:pStyle w:val="Heading3"/>
      </w:pPr>
      <w:bookmarkStart w:id="9" w:name="_Toc118216358"/>
      <w:bookmarkStart w:id="10" w:name="_Toc119587228"/>
      <w:r w:rsidRPr="00F97840">
        <w:t>Section 5. Implementation arrangements and other information</w:t>
      </w:r>
      <w:bookmarkEnd w:id="9"/>
      <w:bookmarkEnd w:id="10"/>
    </w:p>
    <w:p w14:paraId="5AD574DE" w14:textId="6F7386B6" w:rsidR="00EA6283" w:rsidRDefault="00F97840" w:rsidP="00163FD5">
      <w:pPr>
        <w:pStyle w:val="ListParagraph"/>
        <w:numPr>
          <w:ilvl w:val="1"/>
          <w:numId w:val="4"/>
        </w:numPr>
        <w:tabs>
          <w:tab w:val="left" w:pos="720"/>
          <w:tab w:val="left" w:pos="7200"/>
        </w:tabs>
        <w:rPr>
          <w:b/>
          <w:bCs/>
          <w:color w:val="276E8B" w:themeColor="accent1" w:themeShade="BF"/>
        </w:rPr>
      </w:pPr>
      <w:bookmarkStart w:id="11" w:name="_Toc118216359"/>
      <w:r w:rsidRPr="26C849B5">
        <w:rPr>
          <w:b/>
          <w:bCs/>
          <w:color w:val="276E8B" w:themeColor="accent1" w:themeShade="BF"/>
        </w:rPr>
        <w:t>Implementation arrangements</w:t>
      </w:r>
      <w:bookmarkEnd w:id="11"/>
      <w:r w:rsidR="00D962D0">
        <w:rPr>
          <w:b/>
          <w:bCs/>
          <w:color w:val="276E8B" w:themeColor="accent1" w:themeShade="BF"/>
        </w:rPr>
        <w:t xml:space="preserve"> </w:t>
      </w:r>
    </w:p>
    <w:p w14:paraId="2E10A9D9" w14:textId="77777777" w:rsidR="00A420DE" w:rsidRPr="00EA6283" w:rsidRDefault="00A420DE" w:rsidP="00A420DE">
      <w:pPr>
        <w:pStyle w:val="ListParagraph"/>
        <w:tabs>
          <w:tab w:val="left" w:pos="720"/>
          <w:tab w:val="left" w:pos="7200"/>
        </w:tabs>
        <w:ind w:left="360"/>
        <w:rPr>
          <w:b/>
          <w:bCs/>
          <w:color w:val="276E8B" w:themeColor="accent1" w:themeShade="BF"/>
        </w:rPr>
      </w:pPr>
    </w:p>
    <w:p w14:paraId="46228546" w14:textId="66582697" w:rsidR="004D79E7" w:rsidRPr="00EE5C02" w:rsidRDefault="004D79E7" w:rsidP="00EE5C02">
      <w:pPr>
        <w:pStyle w:val="ListParagraph"/>
        <w:numPr>
          <w:ilvl w:val="0"/>
          <w:numId w:val="29"/>
        </w:numPr>
        <w:shd w:val="clear" w:color="auto" w:fill="FFFFFF" w:themeFill="background1"/>
        <w:spacing w:before="120" w:after="120" w:line="240" w:lineRule="auto"/>
        <w:jc w:val="both"/>
        <w:rPr>
          <w:color w:val="000000" w:themeColor="text1"/>
          <w:sz w:val="20"/>
          <w:szCs w:val="20"/>
        </w:rPr>
      </w:pPr>
      <w:r w:rsidRPr="00EE5C02">
        <w:rPr>
          <w:rFonts w:ascii="Arial" w:hAnsi="Arial"/>
          <w:b/>
          <w:color w:val="000000" w:themeColor="text1"/>
          <w:sz w:val="20"/>
          <w:szCs w:val="20"/>
        </w:rPr>
        <w:t xml:space="preserve">The </w:t>
      </w:r>
      <w:r w:rsidR="00902F28" w:rsidRPr="00EE5C02">
        <w:rPr>
          <w:rFonts w:ascii="Arial" w:hAnsi="Arial"/>
          <w:b/>
          <w:color w:val="000000" w:themeColor="text1"/>
          <w:sz w:val="20"/>
          <w:szCs w:val="20"/>
        </w:rPr>
        <w:t>government</w:t>
      </w:r>
      <w:r w:rsidR="00902F28" w:rsidRPr="00EE5C02">
        <w:rPr>
          <w:color w:val="000000" w:themeColor="text1"/>
          <w:sz w:val="20"/>
          <w:szCs w:val="20"/>
        </w:rPr>
        <w:t xml:space="preserve"> of the Kyrgyz Republic </w:t>
      </w:r>
      <w:r w:rsidRPr="00EE5C02">
        <w:rPr>
          <w:color w:val="000000" w:themeColor="text1"/>
          <w:sz w:val="20"/>
          <w:szCs w:val="20"/>
        </w:rPr>
        <w:t xml:space="preserve">has identified UNDP as its </w:t>
      </w:r>
      <w:r w:rsidRPr="00EE5C02">
        <w:rPr>
          <w:b/>
          <w:bCs/>
          <w:color w:val="000000" w:themeColor="text1"/>
          <w:sz w:val="20"/>
          <w:szCs w:val="20"/>
        </w:rPr>
        <w:t>delivery partner</w:t>
      </w:r>
      <w:r w:rsidRPr="00EE5C02">
        <w:rPr>
          <w:color w:val="000000" w:themeColor="text1"/>
          <w:sz w:val="20"/>
          <w:szCs w:val="20"/>
        </w:rPr>
        <w:t xml:space="preserve"> for the current Readiness grant. UNDP will take responsibility, under the leadership and guidance of the NDA, for the implementation of this Readiness grant and will carry out all fiduciary and financial management, procurement of goods and services, monitoring, reporting activities, as well as management, oversight and control of consultants in compliance with </w:t>
      </w:r>
      <w:hyperlink r:id="rId26" w:history="1">
        <w:r w:rsidRPr="00EE5C02">
          <w:rPr>
            <w:rStyle w:val="Hyperlink"/>
            <w:sz w:val="20"/>
            <w:szCs w:val="20"/>
          </w:rPr>
          <w:t>UNDP’s policies and procedures</w:t>
        </w:r>
      </w:hyperlink>
      <w:r w:rsidRPr="00EE5C02">
        <w:rPr>
          <w:color w:val="000000" w:themeColor="text1"/>
          <w:sz w:val="20"/>
          <w:szCs w:val="20"/>
        </w:rPr>
        <w:t xml:space="preserve"> and in accordance with the Second Amended and Restated Framework Readiness and Preparatory Support Grant Agreement between the GCF and UNDP dated 22 July 2020. No grant funds will be used to pay for existing staff or consultants of the government or any beneficiaries. </w:t>
      </w:r>
      <w:r w:rsidR="003579C3" w:rsidRPr="00EE5C02">
        <w:rPr>
          <w:color w:val="000000" w:themeColor="text1"/>
          <w:sz w:val="20"/>
          <w:szCs w:val="20"/>
        </w:rPr>
        <w:t xml:space="preserve"> </w:t>
      </w:r>
      <w:r w:rsidRPr="00EE5C02">
        <w:rPr>
          <w:color w:val="000000" w:themeColor="text1"/>
          <w:sz w:val="20"/>
          <w:szCs w:val="20"/>
        </w:rPr>
        <w:t>The project will be implemented under Direct Implementation Modality (DIM) following UNDP POPP guidance</w:t>
      </w:r>
      <w:r w:rsidR="003579C3" w:rsidRPr="00EE5C02">
        <w:rPr>
          <w:color w:val="000000" w:themeColor="text1"/>
          <w:sz w:val="20"/>
          <w:szCs w:val="20"/>
        </w:rPr>
        <w:t xml:space="preserve"> (</w:t>
      </w:r>
      <w:r w:rsidRPr="00EE5C02">
        <w:rPr>
          <w:color w:val="000000" w:themeColor="text1"/>
          <w:sz w:val="20"/>
          <w:szCs w:val="20"/>
        </w:rPr>
        <w:t>available</w:t>
      </w:r>
      <w:r w:rsidR="003579C3" w:rsidRPr="00EE5C02">
        <w:rPr>
          <w:color w:val="000000" w:themeColor="text1"/>
          <w:sz w:val="20"/>
          <w:szCs w:val="20"/>
        </w:rPr>
        <w:t xml:space="preserve"> </w:t>
      </w:r>
      <w:r w:rsidRPr="00EE5C02">
        <w:rPr>
          <w:color w:val="000000" w:themeColor="text1"/>
          <w:sz w:val="20"/>
          <w:szCs w:val="20"/>
        </w:rPr>
        <w:t xml:space="preserve">here: </w:t>
      </w:r>
      <w:hyperlink r:id="rId27" w:history="1">
        <w:r w:rsidRPr="00EE5C02">
          <w:rPr>
            <w:rStyle w:val="Hyperlink"/>
            <w:sz w:val="20"/>
            <w:szCs w:val="20"/>
          </w:rPr>
          <w:t>https://popp.undp.org/SitePages/POPPSubject.aspx?SBJID=12&amp;Menu=BusinessUnit</w:t>
        </w:r>
      </w:hyperlink>
      <w:r w:rsidR="003579C3" w:rsidRPr="00EE5C02">
        <w:rPr>
          <w:color w:val="000000" w:themeColor="text1"/>
          <w:sz w:val="20"/>
          <w:szCs w:val="20"/>
        </w:rPr>
        <w:t>).</w:t>
      </w:r>
    </w:p>
    <w:p w14:paraId="4ECC56C2" w14:textId="77777777" w:rsidR="009D3B02" w:rsidRPr="00A420DE" w:rsidRDefault="009D3B02" w:rsidP="009D3B02">
      <w:pPr>
        <w:pStyle w:val="ListParagraph"/>
        <w:spacing w:before="120" w:after="120" w:line="240" w:lineRule="auto"/>
        <w:ind w:left="360"/>
        <w:jc w:val="both"/>
        <w:rPr>
          <w:color w:val="000000" w:themeColor="text1"/>
          <w:sz w:val="20"/>
          <w:szCs w:val="20"/>
          <w:highlight w:val="green"/>
        </w:rPr>
      </w:pPr>
    </w:p>
    <w:p w14:paraId="23F81A83" w14:textId="00BDB75A" w:rsidR="004D79E7" w:rsidRPr="009D3B02" w:rsidRDefault="004D79E7">
      <w:pPr>
        <w:pStyle w:val="ListParagraph"/>
        <w:numPr>
          <w:ilvl w:val="0"/>
          <w:numId w:val="29"/>
        </w:numPr>
        <w:jc w:val="both"/>
        <w:rPr>
          <w:color w:val="000000" w:themeColor="text1"/>
          <w:sz w:val="20"/>
          <w:szCs w:val="20"/>
        </w:rPr>
      </w:pPr>
      <w:r w:rsidRPr="009D3B02">
        <w:rPr>
          <w:b/>
          <w:bCs/>
          <w:color w:val="000000" w:themeColor="text1"/>
          <w:sz w:val="20"/>
          <w:szCs w:val="20"/>
        </w:rPr>
        <w:t>Delivery Partner</w:t>
      </w:r>
      <w:r w:rsidRPr="009D3B02">
        <w:rPr>
          <w:color w:val="000000" w:themeColor="text1"/>
          <w:sz w:val="20"/>
          <w:szCs w:val="20"/>
        </w:rPr>
        <w:t>. UNDP will manage and implement this Readiness proposal and be responsible for procurement and contracting all services envisaged in the proposal, including monitoring and evaluation of activities, and reporting to the fund on project implementation progress. All financial transactions and procurement of goods and services will be carried out based on an approved budget and strictly according to UNDP procedure, in alignment with procurement guidelines and policies of the GCF.</w:t>
      </w:r>
      <w:r w:rsidR="009D3B02" w:rsidRPr="009D3B02">
        <w:rPr>
          <w:color w:val="000000" w:themeColor="text1"/>
          <w:sz w:val="20"/>
          <w:szCs w:val="20"/>
        </w:rPr>
        <w:t xml:space="preserve"> </w:t>
      </w:r>
      <w:r w:rsidRPr="009D3B02">
        <w:rPr>
          <w:color w:val="000000" w:themeColor="text1"/>
          <w:sz w:val="20"/>
          <w:szCs w:val="20"/>
        </w:rPr>
        <w:t xml:space="preserve">UNDP will be responsible for effective and efficient utilization of funds, preparation, and submission of interim and final reports on achieved results to the NDA and GCF. UNDP will provide financial and technical oversight services for the outcomes and outputs of the project. UNDP will ensure that project monitoring and evaluation run according to an agreed schedule, and in line with UNDP and GCF requirements. UNDP will be responsible for overall execution of the project and for timely achievement of project results, under the leadership and guidance of the NDA. </w:t>
      </w:r>
    </w:p>
    <w:p w14:paraId="6AC6F842" w14:textId="77777777" w:rsidR="00FA7780" w:rsidRDefault="004D79E7">
      <w:pPr>
        <w:pStyle w:val="ListParagraph"/>
        <w:numPr>
          <w:ilvl w:val="0"/>
          <w:numId w:val="29"/>
        </w:numPr>
        <w:jc w:val="both"/>
        <w:rPr>
          <w:color w:val="000000" w:themeColor="text1"/>
          <w:sz w:val="20"/>
          <w:szCs w:val="20"/>
        </w:rPr>
      </w:pPr>
      <w:r w:rsidRPr="00FA7780">
        <w:rPr>
          <w:b/>
          <w:bCs/>
          <w:color w:val="000000" w:themeColor="text1"/>
          <w:sz w:val="20"/>
          <w:szCs w:val="20"/>
        </w:rPr>
        <w:t xml:space="preserve">NDA. </w:t>
      </w:r>
      <w:r w:rsidRPr="00FA7780">
        <w:rPr>
          <w:color w:val="000000" w:themeColor="text1"/>
          <w:sz w:val="20"/>
          <w:szCs w:val="20"/>
        </w:rPr>
        <w:t>The NDA</w:t>
      </w:r>
      <w:r w:rsidR="002E32E8" w:rsidRPr="00FA7780">
        <w:rPr>
          <w:color w:val="000000" w:themeColor="text1"/>
          <w:sz w:val="20"/>
          <w:szCs w:val="20"/>
        </w:rPr>
        <w:t xml:space="preserve"> (Ministry of Natural Resources, Ecology and Technical Supervision)</w:t>
      </w:r>
      <w:r w:rsidRPr="00FA7780">
        <w:rPr>
          <w:color w:val="000000" w:themeColor="text1"/>
          <w:sz w:val="20"/>
          <w:szCs w:val="20"/>
        </w:rPr>
        <w:t xml:space="preserve"> is the beneficiary of the current Readiness request and will therefore provide guidance to UNDP. It will </w:t>
      </w:r>
      <w:r w:rsidRPr="00FA7780">
        <w:rPr>
          <w:color w:val="000000" w:themeColor="text1"/>
          <w:sz w:val="20"/>
          <w:szCs w:val="20"/>
        </w:rPr>
        <w:lastRenderedPageBreak/>
        <w:t xml:space="preserve">facilitate and convene meetings of a technical and administrative nature, support in gaining access to data and information, and keep all local stakeholders informed of the progress of the Readiness grant. </w:t>
      </w:r>
      <w:r w:rsidR="009D3B02" w:rsidRPr="00FA7780">
        <w:rPr>
          <w:color w:val="000000" w:themeColor="text1"/>
          <w:sz w:val="20"/>
          <w:szCs w:val="20"/>
        </w:rPr>
        <w:t xml:space="preserve"> </w:t>
      </w:r>
      <w:r w:rsidRPr="00FA7780">
        <w:rPr>
          <w:color w:val="000000" w:themeColor="text1"/>
          <w:sz w:val="20"/>
          <w:szCs w:val="20"/>
        </w:rPr>
        <w:t>The NDA will ensure country ownership and achievement of outcomes and outputs, through its participation in the Project Board, and in day-to-day coordination meetings and activities between the NDA staff and the project team. The NDA will provide guidance during the implementation of activities by working with UNDP, consultants, and firms to ensure that the project achieves results that will deliver long-term impacts. The NDA will be responsible for providing quality control and endorsement of reports (technical, monitoring, and evaluation reports) and documents produced under the grant to ensure country ownership. The NDA will facilitate and steer engagements with line ministries, governments at the sub-national level, and other stakeholders as required. The grant funds will not be used to pay for the staff or consultants of the government or any beneficiaries.</w:t>
      </w:r>
    </w:p>
    <w:p w14:paraId="342E4077" w14:textId="77777777" w:rsidR="00FA7780" w:rsidRPr="00FA7780" w:rsidRDefault="004D79E7">
      <w:pPr>
        <w:pStyle w:val="ListParagraph"/>
        <w:numPr>
          <w:ilvl w:val="0"/>
          <w:numId w:val="29"/>
        </w:numPr>
        <w:jc w:val="both"/>
        <w:rPr>
          <w:color w:val="000000" w:themeColor="text1"/>
          <w:sz w:val="20"/>
          <w:szCs w:val="20"/>
          <w:lang w:val="en-GB"/>
        </w:rPr>
      </w:pPr>
      <w:r w:rsidRPr="00FA7780">
        <w:rPr>
          <w:b/>
          <w:bCs/>
          <w:color w:val="000000" w:themeColor="text1"/>
          <w:sz w:val="20"/>
          <w:szCs w:val="20"/>
        </w:rPr>
        <w:t>Project Board (PB):</w:t>
      </w:r>
      <w:r w:rsidRPr="00FA7780">
        <w:rPr>
          <w:color w:val="000000" w:themeColor="text1"/>
          <w:sz w:val="20"/>
          <w:szCs w:val="20"/>
        </w:rPr>
        <w:t xml:space="preserve"> The Project Board comprises representatives from the</w:t>
      </w:r>
      <w:r w:rsidR="00F26744" w:rsidRPr="00FA7780">
        <w:rPr>
          <w:color w:val="000000" w:themeColor="text1"/>
          <w:sz w:val="20"/>
          <w:szCs w:val="20"/>
        </w:rPr>
        <w:t xml:space="preserve"> Ministry of Natural Resources, Ecology and Technical S</w:t>
      </w:r>
      <w:r w:rsidR="00C52076" w:rsidRPr="00FA7780">
        <w:rPr>
          <w:color w:val="000000" w:themeColor="text1"/>
          <w:sz w:val="20"/>
          <w:szCs w:val="20"/>
        </w:rPr>
        <w:t>u</w:t>
      </w:r>
      <w:r w:rsidR="00F26744" w:rsidRPr="00FA7780">
        <w:rPr>
          <w:color w:val="000000" w:themeColor="text1"/>
          <w:sz w:val="20"/>
          <w:szCs w:val="20"/>
        </w:rPr>
        <w:t xml:space="preserve">pervision (as NDA), </w:t>
      </w:r>
      <w:r w:rsidR="009725F5" w:rsidRPr="00FA7780">
        <w:rPr>
          <w:color w:val="000000" w:themeColor="text1"/>
          <w:sz w:val="20"/>
          <w:szCs w:val="20"/>
        </w:rPr>
        <w:t xml:space="preserve">the </w:t>
      </w:r>
      <w:r w:rsidR="0063146E" w:rsidRPr="00FA7780">
        <w:rPr>
          <w:color w:val="000000" w:themeColor="text1"/>
          <w:sz w:val="20"/>
          <w:szCs w:val="20"/>
        </w:rPr>
        <w:t>Climate Finance Center</w:t>
      </w:r>
      <w:r w:rsidR="0020614D" w:rsidRPr="00FA7780">
        <w:rPr>
          <w:color w:val="000000" w:themeColor="text1"/>
          <w:sz w:val="20"/>
          <w:szCs w:val="20"/>
        </w:rPr>
        <w:t xml:space="preserve"> </w:t>
      </w:r>
      <w:r w:rsidRPr="00FA7780">
        <w:rPr>
          <w:color w:val="000000" w:themeColor="text1"/>
          <w:sz w:val="20"/>
          <w:szCs w:val="20"/>
        </w:rPr>
        <w:t>and UNDP.</w:t>
      </w:r>
      <w:r w:rsidR="00FA7780" w:rsidRPr="00FA7780">
        <w:rPr>
          <w:color w:val="000000" w:themeColor="text1"/>
          <w:sz w:val="20"/>
          <w:szCs w:val="20"/>
        </w:rPr>
        <w:t xml:space="preserve"> </w:t>
      </w:r>
      <w:r w:rsidRPr="00FA7780">
        <w:rPr>
          <w:color w:val="000000" w:themeColor="text1"/>
          <w:sz w:val="20"/>
          <w:szCs w:val="20"/>
        </w:rPr>
        <w:t>The PB is established to review performance based on monitoring and evaluation, and implementation issues to ensure quality delivery of results. The PB is the most senior, dedicated oversight body for the project and will ensure alignment of readiness activities with national policies. The PB: i) provides overall strategic guidance and direction to the project, ensuring it remains within any specified constraints, and providing overall oversight of the project implementation; and ii) review project performance based on monitoring, evaluation and reporting, including progress reports, risk logs and the combined delivery report. The PB is responsible for making management decisions by consensus. To ensure UNDP’s ultimate accountability, PB decisions should be made in accordance with standards that shall ensure management for development results, best value money, fairness, integrity, transparency and effective international competition. The PB will meet at least once a year to provide strategic guidance, hold project reviews to assess annual performance and appraise the Annual Work Plan for the following year. The PB will hold ad hoc meetings when necessary to deal with emerging issues</w:t>
      </w:r>
      <w:r w:rsidR="000D431D" w:rsidRPr="00FA7780">
        <w:rPr>
          <w:color w:val="000000" w:themeColor="text1"/>
          <w:sz w:val="20"/>
          <w:szCs w:val="20"/>
        </w:rPr>
        <w:t>.</w:t>
      </w:r>
    </w:p>
    <w:p w14:paraId="2F256974" w14:textId="77777777" w:rsidR="00FA7780" w:rsidRDefault="00057401">
      <w:pPr>
        <w:pStyle w:val="ListParagraph"/>
        <w:numPr>
          <w:ilvl w:val="0"/>
          <w:numId w:val="29"/>
        </w:numPr>
        <w:jc w:val="both"/>
        <w:rPr>
          <w:color w:val="000000" w:themeColor="text1"/>
          <w:sz w:val="20"/>
          <w:szCs w:val="20"/>
        </w:rPr>
      </w:pPr>
      <w:r w:rsidRPr="00FA7780">
        <w:rPr>
          <w:b/>
          <w:bCs/>
          <w:sz w:val="20"/>
          <w:szCs w:val="20"/>
        </w:rPr>
        <w:t xml:space="preserve">Project </w:t>
      </w:r>
      <w:r w:rsidR="000A3A69" w:rsidRPr="00FA7780">
        <w:rPr>
          <w:b/>
          <w:bCs/>
          <w:sz w:val="20"/>
          <w:szCs w:val="20"/>
        </w:rPr>
        <w:t>Advisory Group</w:t>
      </w:r>
      <w:r w:rsidR="00095155" w:rsidRPr="00FA7780">
        <w:rPr>
          <w:b/>
          <w:bCs/>
          <w:sz w:val="20"/>
          <w:szCs w:val="20"/>
        </w:rPr>
        <w:t>:</w:t>
      </w:r>
      <w:r w:rsidR="00095155" w:rsidRPr="00FA7780">
        <w:rPr>
          <w:sz w:val="20"/>
          <w:szCs w:val="20"/>
        </w:rPr>
        <w:t xml:space="preserve"> Will serve as an advising body when appropriate and to support and promote the Readiness </w:t>
      </w:r>
      <w:r w:rsidR="00FA7780" w:rsidRPr="00FA7780">
        <w:rPr>
          <w:sz w:val="20"/>
          <w:szCs w:val="20"/>
        </w:rPr>
        <w:t>activities and</w:t>
      </w:r>
      <w:r w:rsidRPr="00FA7780">
        <w:rPr>
          <w:sz w:val="20"/>
          <w:szCs w:val="20"/>
        </w:rPr>
        <w:t xml:space="preserve"> consist of </w:t>
      </w:r>
      <w:r w:rsidR="00FE44B0" w:rsidRPr="00FA7780">
        <w:rPr>
          <w:sz w:val="20"/>
          <w:szCs w:val="20"/>
        </w:rPr>
        <w:t xml:space="preserve">technical experts not involved </w:t>
      </w:r>
      <w:r w:rsidR="00FA7780" w:rsidRPr="00FA7780">
        <w:rPr>
          <w:sz w:val="20"/>
          <w:szCs w:val="20"/>
        </w:rPr>
        <w:t>in</w:t>
      </w:r>
      <w:r w:rsidR="00FE44B0" w:rsidRPr="00FA7780">
        <w:rPr>
          <w:sz w:val="20"/>
          <w:szCs w:val="20"/>
        </w:rPr>
        <w:t xml:space="preserve"> project implementation.</w:t>
      </w:r>
      <w:r w:rsidR="003A6743" w:rsidRPr="00FA7780">
        <w:rPr>
          <w:sz w:val="20"/>
          <w:szCs w:val="20"/>
        </w:rPr>
        <w:t xml:space="preserve"> </w:t>
      </w:r>
      <w:r w:rsidR="00FA7780" w:rsidRPr="00FA7780">
        <w:rPr>
          <w:sz w:val="20"/>
          <w:szCs w:val="20"/>
        </w:rPr>
        <w:t>An Advisory</w:t>
      </w:r>
      <w:r w:rsidR="003A6743" w:rsidRPr="00FA7780">
        <w:rPr>
          <w:sz w:val="20"/>
          <w:szCs w:val="20"/>
        </w:rPr>
        <w:t xml:space="preserve"> Group will be formed on a voluntary </w:t>
      </w:r>
      <w:r w:rsidR="00FA7780" w:rsidRPr="00FA7780">
        <w:rPr>
          <w:sz w:val="20"/>
          <w:szCs w:val="20"/>
        </w:rPr>
        <w:t>basis</w:t>
      </w:r>
      <w:r w:rsidR="003A6743" w:rsidRPr="00FA7780">
        <w:rPr>
          <w:sz w:val="20"/>
          <w:szCs w:val="20"/>
        </w:rPr>
        <w:t>.</w:t>
      </w:r>
      <w:r w:rsidR="0063146E" w:rsidRPr="00FA7780">
        <w:rPr>
          <w:sz w:val="20"/>
          <w:szCs w:val="20"/>
        </w:rPr>
        <w:t xml:space="preserve"> In addition, </w:t>
      </w:r>
      <w:r w:rsidR="0063146E" w:rsidRPr="00FA7780">
        <w:rPr>
          <w:color w:val="000000" w:themeColor="text1"/>
          <w:sz w:val="20"/>
          <w:szCs w:val="20"/>
        </w:rPr>
        <w:t>coordination with development partners will be actively conducted under the Project Advisory Group.</w:t>
      </w:r>
      <w:r w:rsidR="0063146E" w:rsidRPr="00FA7780">
        <w:rPr>
          <w:b/>
          <w:bCs/>
          <w:color w:val="000000" w:themeColor="text1"/>
          <w:sz w:val="20"/>
          <w:szCs w:val="20"/>
        </w:rPr>
        <w:t xml:space="preserve"> </w:t>
      </w:r>
      <w:r w:rsidR="0063146E" w:rsidRPr="00FA7780">
        <w:rPr>
          <w:color w:val="000000" w:themeColor="text1"/>
          <w:sz w:val="20"/>
          <w:szCs w:val="20"/>
        </w:rPr>
        <w:t>Coordination of the Project activities with other projects implemented or planned to be implemented will be ensured through the relevant working groups (WG) of the Development Partners Coordination Council</w:t>
      </w:r>
      <w:r w:rsidR="0063146E" w:rsidRPr="00FA7780">
        <w:rPr>
          <w:color w:val="000000" w:themeColor="text1"/>
          <w:sz w:val="20"/>
          <w:szCs w:val="20"/>
          <w:lang w:val="en-GB"/>
        </w:rPr>
        <w:t xml:space="preserve"> (DPCC, Environment, Climate Change and Disaster Risk Management </w:t>
      </w:r>
      <w:r w:rsidR="0063146E" w:rsidRPr="00FA7780">
        <w:rPr>
          <w:color w:val="000000" w:themeColor="text1"/>
          <w:sz w:val="20"/>
          <w:szCs w:val="20"/>
        </w:rPr>
        <w:t xml:space="preserve">WG - ECCDRM, and Working Group on Private Sector Development WG - PSD). Currently, UNDP co-chairs WG ECCCDRM with MNRETS. Along with multilateral platforms, the Project potential synergies were identified with ongoing and planned activities of ADB, WB, USAID. At the preparatory phase, UNDP has reached an agreement to conduct regular meetings with those Development Partners during the implementation process. </w:t>
      </w:r>
    </w:p>
    <w:p w14:paraId="2828DE74" w14:textId="77777777" w:rsidR="00A13C35" w:rsidRPr="00A13C35" w:rsidRDefault="000D431D">
      <w:pPr>
        <w:pStyle w:val="ListParagraph"/>
        <w:numPr>
          <w:ilvl w:val="0"/>
          <w:numId w:val="29"/>
        </w:numPr>
        <w:jc w:val="both"/>
        <w:rPr>
          <w:color w:val="000000" w:themeColor="text1"/>
          <w:sz w:val="20"/>
          <w:szCs w:val="20"/>
          <w:lang w:val="en-GB"/>
        </w:rPr>
      </w:pPr>
      <w:r w:rsidRPr="00A13C35">
        <w:rPr>
          <w:b/>
          <w:bCs/>
          <w:color w:val="000000" w:themeColor="text1"/>
          <w:sz w:val="20"/>
          <w:szCs w:val="20"/>
        </w:rPr>
        <w:t>The Project Management Unit</w:t>
      </w:r>
      <w:r w:rsidRPr="00A13C35">
        <w:rPr>
          <w:color w:val="000000" w:themeColor="text1"/>
          <w:sz w:val="20"/>
          <w:szCs w:val="20"/>
        </w:rPr>
        <w:t xml:space="preserve"> will be responsible for implementing the project. The PMU will be based in UNDP country office in the Kyrgyz Republic and will be responsible for providing daily technical, administrative and financial project management. It will establish and coordinate collaboration with technical departments involved in project implementation and with </w:t>
      </w:r>
      <w:r w:rsidR="00095155" w:rsidRPr="00A13C35">
        <w:rPr>
          <w:color w:val="000000" w:themeColor="text1"/>
          <w:sz w:val="20"/>
          <w:szCs w:val="20"/>
        </w:rPr>
        <w:t>the Ministry of Natural Resources, Ecology and Technical Supervision</w:t>
      </w:r>
      <w:r w:rsidRPr="00A13C35">
        <w:rPr>
          <w:b/>
          <w:bCs/>
          <w:color w:val="000000" w:themeColor="text1"/>
          <w:sz w:val="20"/>
          <w:szCs w:val="20"/>
        </w:rPr>
        <w:t xml:space="preserve"> </w:t>
      </w:r>
      <w:r w:rsidRPr="00A13C35">
        <w:rPr>
          <w:color w:val="000000" w:themeColor="text1"/>
          <w:sz w:val="20"/>
          <w:szCs w:val="20"/>
        </w:rPr>
        <w:t>support. It shall serve as the secretariat for the Project Board. It will facilitate project-related planning activities such as preparation of annual work plans and be responsible for overall project monitoring and reporting. The PMU will comprise of a Project Manager</w:t>
      </w:r>
      <w:r w:rsidR="007137D1" w:rsidRPr="00A13C35">
        <w:rPr>
          <w:color w:val="000000" w:themeColor="text1"/>
          <w:sz w:val="20"/>
          <w:szCs w:val="20"/>
        </w:rPr>
        <w:t xml:space="preserve"> </w:t>
      </w:r>
      <w:r w:rsidR="001E2B4C" w:rsidRPr="00A13C35">
        <w:rPr>
          <w:color w:val="000000" w:themeColor="text1"/>
          <w:sz w:val="20"/>
          <w:szCs w:val="20"/>
        </w:rPr>
        <w:t xml:space="preserve">responsible for managing the Project and substantial </w:t>
      </w:r>
      <w:r w:rsidR="004F0A2D" w:rsidRPr="00A13C35">
        <w:rPr>
          <w:color w:val="000000" w:themeColor="text1"/>
          <w:sz w:val="20"/>
          <w:szCs w:val="20"/>
        </w:rPr>
        <w:t>thematic activities within Outcomes 2.2, Outcome 2.4, Outcome 5.1</w:t>
      </w:r>
      <w:r w:rsidR="006C25E4" w:rsidRPr="00A13C35">
        <w:rPr>
          <w:color w:val="000000" w:themeColor="text1"/>
          <w:sz w:val="20"/>
          <w:szCs w:val="20"/>
        </w:rPr>
        <w:t>;</w:t>
      </w:r>
      <w:r w:rsidRPr="00A13C35">
        <w:rPr>
          <w:color w:val="000000" w:themeColor="text1"/>
          <w:sz w:val="20"/>
          <w:szCs w:val="20"/>
        </w:rPr>
        <w:t xml:space="preserve"> </w:t>
      </w:r>
      <w:r w:rsidR="00136720" w:rsidRPr="00A13C35">
        <w:rPr>
          <w:color w:val="000000" w:themeColor="text1"/>
          <w:sz w:val="20"/>
          <w:szCs w:val="20"/>
        </w:rPr>
        <w:t>Project Specialist</w:t>
      </w:r>
      <w:r w:rsidR="00802280" w:rsidRPr="00A13C35">
        <w:rPr>
          <w:color w:val="000000" w:themeColor="text1"/>
          <w:sz w:val="20"/>
          <w:szCs w:val="20"/>
        </w:rPr>
        <w:t xml:space="preserve">, </w:t>
      </w:r>
      <w:r w:rsidR="00F96581" w:rsidRPr="00A13C35">
        <w:rPr>
          <w:color w:val="000000" w:themeColor="text1"/>
          <w:sz w:val="20"/>
          <w:szCs w:val="20"/>
        </w:rPr>
        <w:t>responsible</w:t>
      </w:r>
      <w:r w:rsidR="00042163" w:rsidRPr="00A13C35">
        <w:rPr>
          <w:color w:val="000000" w:themeColor="text1"/>
          <w:sz w:val="20"/>
          <w:szCs w:val="20"/>
        </w:rPr>
        <w:t xml:space="preserve"> for </w:t>
      </w:r>
      <w:r w:rsidR="00F96581" w:rsidRPr="00A13C35">
        <w:rPr>
          <w:color w:val="000000" w:themeColor="text1"/>
          <w:sz w:val="20"/>
          <w:szCs w:val="20"/>
        </w:rPr>
        <w:t>thematic</w:t>
      </w:r>
      <w:r w:rsidR="00042163" w:rsidRPr="00A13C35">
        <w:rPr>
          <w:color w:val="000000" w:themeColor="text1"/>
          <w:sz w:val="20"/>
          <w:szCs w:val="20"/>
        </w:rPr>
        <w:t xml:space="preserve"> activities of </w:t>
      </w:r>
      <w:r w:rsidR="00465072" w:rsidRPr="00A13C35">
        <w:rPr>
          <w:color w:val="000000" w:themeColor="text1"/>
          <w:sz w:val="20"/>
          <w:szCs w:val="20"/>
        </w:rPr>
        <w:t xml:space="preserve">Outcome 1.1, </w:t>
      </w:r>
      <w:r w:rsidR="00042163" w:rsidRPr="00A13C35">
        <w:rPr>
          <w:color w:val="000000" w:themeColor="text1"/>
          <w:sz w:val="20"/>
          <w:szCs w:val="20"/>
        </w:rPr>
        <w:t>Outcome 1.3 and Outcome 4.1</w:t>
      </w:r>
      <w:r w:rsidR="007F606C" w:rsidRPr="00A13C35">
        <w:rPr>
          <w:color w:val="000000" w:themeColor="text1"/>
          <w:sz w:val="20"/>
          <w:szCs w:val="20"/>
        </w:rPr>
        <w:t>. Additionally, PMU will include</w:t>
      </w:r>
      <w:r w:rsidR="00BF6B83" w:rsidRPr="00A13C35">
        <w:rPr>
          <w:color w:val="000000" w:themeColor="text1"/>
          <w:sz w:val="20"/>
          <w:szCs w:val="20"/>
        </w:rPr>
        <w:t xml:space="preserve"> </w:t>
      </w:r>
      <w:r w:rsidR="00BF6B83" w:rsidRPr="00A13C35">
        <w:rPr>
          <w:color w:val="000000" w:themeColor="text1"/>
          <w:sz w:val="20"/>
          <w:szCs w:val="20"/>
          <w:lang w:val="en-GB"/>
        </w:rPr>
        <w:t>a Procurement Specialist and a Financial/Administrative Assistant</w:t>
      </w:r>
      <w:r w:rsidR="00682182" w:rsidRPr="00A13C35">
        <w:rPr>
          <w:color w:val="000000" w:themeColor="text1"/>
          <w:sz w:val="20"/>
          <w:szCs w:val="20"/>
          <w:lang w:val="en-GB"/>
        </w:rPr>
        <w:t>.</w:t>
      </w:r>
      <w:r w:rsidR="007F606C" w:rsidRPr="00A13C35">
        <w:rPr>
          <w:color w:val="000000" w:themeColor="text1"/>
          <w:sz w:val="20"/>
          <w:szCs w:val="20"/>
        </w:rPr>
        <w:t xml:space="preserve"> </w:t>
      </w:r>
      <w:r w:rsidRPr="00A13C35">
        <w:rPr>
          <w:color w:val="000000" w:themeColor="text1"/>
          <w:sz w:val="20"/>
          <w:szCs w:val="20"/>
        </w:rPr>
        <w:t xml:space="preserve"> </w:t>
      </w:r>
    </w:p>
    <w:p w14:paraId="1A219C41" w14:textId="77777777" w:rsidR="00A13C35" w:rsidRDefault="00CA136A">
      <w:pPr>
        <w:pStyle w:val="ListParagraph"/>
        <w:numPr>
          <w:ilvl w:val="0"/>
          <w:numId w:val="29"/>
        </w:numPr>
        <w:jc w:val="both"/>
        <w:rPr>
          <w:color w:val="000000" w:themeColor="text1"/>
          <w:sz w:val="20"/>
          <w:szCs w:val="20"/>
          <w:lang w:val="en-GB"/>
        </w:rPr>
      </w:pPr>
      <w:r w:rsidRPr="00A13C35">
        <w:rPr>
          <w:color w:val="000000" w:themeColor="text1"/>
          <w:sz w:val="20"/>
          <w:szCs w:val="20"/>
          <w:lang w:val="en-GB"/>
        </w:rPr>
        <w:t xml:space="preserve">The Project Manager will be responsible for ensure synergy with other </w:t>
      </w:r>
      <w:r w:rsidRPr="00A13C35">
        <w:rPr>
          <w:color w:val="000000" w:themeColor="text1"/>
          <w:sz w:val="20"/>
          <w:szCs w:val="20"/>
        </w:rPr>
        <w:t>climate and green finance</w:t>
      </w:r>
      <w:r w:rsidRPr="00A13C35">
        <w:rPr>
          <w:color w:val="000000" w:themeColor="text1"/>
          <w:sz w:val="20"/>
          <w:szCs w:val="20"/>
          <w:lang w:val="en-GB"/>
        </w:rPr>
        <w:t xml:space="preserve"> related projects and will run the project on a day-to-day basis within the constraints laid down by the Board. The Project Manager will be responsible for overall project coordination and implementation, consolidation of work plans and project papers, preparation of annual (and/or quarterly, if required) progress reports, reporting to the project supervisory bodies. The Project Manager will also closely coordinate project activities with relevant government institutions and hold regular consultations with other project stakeholders and partners. The Project Manager’s function </w:t>
      </w:r>
      <w:r w:rsidRPr="00A13C35">
        <w:rPr>
          <w:color w:val="000000" w:themeColor="text1"/>
          <w:sz w:val="20"/>
          <w:szCs w:val="20"/>
          <w:lang w:val="en-GB"/>
        </w:rPr>
        <w:lastRenderedPageBreak/>
        <w:t>will end when the final project report and corresponding management response, and other documentation required by the GCF and UNDP, have been completed and submitted (including operational closure of the project).</w:t>
      </w:r>
      <w:r w:rsidR="00EC7388" w:rsidRPr="00A13C35">
        <w:rPr>
          <w:color w:val="000000" w:themeColor="text1"/>
          <w:sz w:val="20"/>
          <w:szCs w:val="20"/>
          <w:lang w:val="en-GB"/>
        </w:rPr>
        <w:t xml:space="preserve"> </w:t>
      </w:r>
      <w:r w:rsidRPr="00A13C35">
        <w:rPr>
          <w:color w:val="000000" w:themeColor="text1"/>
          <w:sz w:val="20"/>
          <w:szCs w:val="20"/>
          <w:lang w:val="en-GB"/>
        </w:rPr>
        <w:t xml:space="preserve">Under the direct supervision of the Project Manager, the Project Team will be responsible for administrative and financial </w:t>
      </w:r>
      <w:r w:rsidR="00A13C35" w:rsidRPr="00A13C35">
        <w:rPr>
          <w:color w:val="000000" w:themeColor="text1"/>
          <w:sz w:val="20"/>
          <w:szCs w:val="20"/>
          <w:lang w:val="en-GB"/>
        </w:rPr>
        <w:t>issues and</w:t>
      </w:r>
      <w:r w:rsidRPr="00A13C35">
        <w:rPr>
          <w:color w:val="000000" w:themeColor="text1"/>
          <w:sz w:val="20"/>
          <w:szCs w:val="20"/>
          <w:lang w:val="en-GB"/>
        </w:rPr>
        <w:t xml:space="preserve"> will get support from the existing UNDP Operations Division. The Project Team will be recruited in accordance with UNDP’s regulations to manage actual implementation of the project and will be based in Bishkek. </w:t>
      </w:r>
    </w:p>
    <w:p w14:paraId="06028D8D" w14:textId="77777777" w:rsidR="00A13C35" w:rsidRPr="00A13C35" w:rsidRDefault="00EC7388">
      <w:pPr>
        <w:pStyle w:val="ListParagraph"/>
        <w:numPr>
          <w:ilvl w:val="0"/>
          <w:numId w:val="29"/>
        </w:numPr>
        <w:jc w:val="both"/>
        <w:rPr>
          <w:color w:val="000000" w:themeColor="text1"/>
          <w:sz w:val="20"/>
          <w:szCs w:val="20"/>
        </w:rPr>
      </w:pPr>
      <w:r w:rsidRPr="00A13C35">
        <w:rPr>
          <w:b/>
          <w:bCs/>
          <w:color w:val="000000" w:themeColor="text1"/>
          <w:sz w:val="20"/>
          <w:szCs w:val="20"/>
          <w:lang w:val="en-GB"/>
        </w:rPr>
        <w:t xml:space="preserve">Project Assurance: </w:t>
      </w:r>
      <w:r w:rsidRPr="00A13C35">
        <w:rPr>
          <w:color w:val="000000" w:themeColor="text1"/>
          <w:sz w:val="20"/>
          <w:szCs w:val="20"/>
          <w:lang w:val="en-GB"/>
        </w:rPr>
        <w:t xml:space="preserve">UNDP provides a three – tier supervision, oversight and quality assurance role – funded by the agency fee – involving UNDP staff in Country Offices and at regional and headquarters levels. Project Assurance must be totally independent of the Project Management function. The quality assurance role supports the Project Board and Project Management Unit by carrying out objective and independent project oversight and monitoring functions. This role ensures appropriate project management milestones are managed and completed. The Project Board cannot delegate any of its quality assurance responsibilities to the Project Manager. The delivery partner fee provided by the GCF covers project oversight and quality assurance role. Specifically, in addition to the UNDP regional and HQ apparatuses, key UNDP Kyrgyz Republic country office staff, </w:t>
      </w:r>
      <w:r w:rsidR="00DB7817" w:rsidRPr="00A13C35">
        <w:rPr>
          <w:color w:val="000000" w:themeColor="text1"/>
          <w:sz w:val="20"/>
          <w:szCs w:val="20"/>
          <w:lang w:val="en-GB"/>
        </w:rPr>
        <w:t xml:space="preserve">a </w:t>
      </w:r>
      <w:r w:rsidRPr="00A13C35">
        <w:rPr>
          <w:color w:val="000000" w:themeColor="text1"/>
          <w:sz w:val="20"/>
          <w:szCs w:val="20"/>
          <w:lang w:val="en-GB"/>
        </w:rPr>
        <w:t xml:space="preserve">Team Leader (officer) from the </w:t>
      </w:r>
      <w:r w:rsidR="00DB7817" w:rsidRPr="00A13C35">
        <w:rPr>
          <w:color w:val="000000" w:themeColor="text1"/>
          <w:sz w:val="20"/>
          <w:szCs w:val="20"/>
          <w:lang w:val="en-GB"/>
        </w:rPr>
        <w:t xml:space="preserve">Sustainable Economic </w:t>
      </w:r>
      <w:r w:rsidRPr="00A13C35">
        <w:rPr>
          <w:color w:val="000000" w:themeColor="text1"/>
          <w:sz w:val="20"/>
          <w:szCs w:val="20"/>
          <w:lang w:val="en-GB"/>
        </w:rPr>
        <w:t xml:space="preserve">Unit will be directly involved in the day-to-day quality assurance for the project. In addition, </w:t>
      </w:r>
      <w:r w:rsidR="00861EEC" w:rsidRPr="00A13C35">
        <w:rPr>
          <w:color w:val="000000" w:themeColor="text1"/>
          <w:sz w:val="20"/>
          <w:szCs w:val="20"/>
          <w:lang w:val="en-GB"/>
        </w:rPr>
        <w:t>the implementation assurance will be supported</w:t>
      </w:r>
      <w:r w:rsidR="00B726BF" w:rsidRPr="00A13C35">
        <w:rPr>
          <w:color w:val="000000" w:themeColor="text1"/>
          <w:sz w:val="20"/>
          <w:szCs w:val="20"/>
          <w:lang w:val="en-GB"/>
        </w:rPr>
        <w:t xml:space="preserve"> by a Team Leader</w:t>
      </w:r>
      <w:r w:rsidR="00FF680E" w:rsidRPr="00A13C35">
        <w:rPr>
          <w:color w:val="000000" w:themeColor="text1"/>
          <w:sz w:val="20"/>
          <w:szCs w:val="20"/>
          <w:lang w:val="en-GB"/>
        </w:rPr>
        <w:t xml:space="preserve"> (Officer)</w:t>
      </w:r>
      <w:r w:rsidR="00B726BF" w:rsidRPr="00A13C35">
        <w:rPr>
          <w:color w:val="000000" w:themeColor="text1"/>
          <w:sz w:val="20"/>
          <w:szCs w:val="20"/>
          <w:lang w:val="en-GB"/>
        </w:rPr>
        <w:t xml:space="preserve"> </w:t>
      </w:r>
      <w:r w:rsidR="00020947" w:rsidRPr="00A13C35">
        <w:rPr>
          <w:color w:val="000000" w:themeColor="text1"/>
          <w:sz w:val="20"/>
          <w:szCs w:val="20"/>
          <w:lang w:val="en-GB"/>
        </w:rPr>
        <w:t>of Climate Change, Environment and Energy Unit,</w:t>
      </w:r>
      <w:r w:rsidRPr="00A13C35">
        <w:rPr>
          <w:color w:val="000000" w:themeColor="text1"/>
          <w:sz w:val="20"/>
          <w:szCs w:val="20"/>
          <w:lang w:val="en-GB"/>
        </w:rPr>
        <w:t xml:space="preserve"> Monitoring and Evaluation </w:t>
      </w:r>
      <w:r w:rsidR="007F1560" w:rsidRPr="00A13C35">
        <w:rPr>
          <w:color w:val="000000" w:themeColor="text1"/>
          <w:sz w:val="20"/>
          <w:szCs w:val="20"/>
          <w:lang w:val="en-GB"/>
        </w:rPr>
        <w:t>Analyst</w:t>
      </w:r>
      <w:r w:rsidRPr="00A13C35">
        <w:rPr>
          <w:color w:val="000000" w:themeColor="text1"/>
          <w:sz w:val="20"/>
          <w:szCs w:val="20"/>
          <w:lang w:val="en-GB"/>
        </w:rPr>
        <w:t xml:space="preserve"> and the UNDP Country Programme Gender Mainstreaming Coordinator</w:t>
      </w:r>
      <w:r w:rsidR="007D4279" w:rsidRPr="00A13C35">
        <w:rPr>
          <w:color w:val="000000" w:themeColor="text1"/>
          <w:sz w:val="20"/>
          <w:szCs w:val="20"/>
          <w:lang w:val="en-GB"/>
        </w:rPr>
        <w:t xml:space="preserve">, as well </w:t>
      </w:r>
      <w:r w:rsidR="00FC05A2" w:rsidRPr="00A13C35">
        <w:rPr>
          <w:color w:val="000000" w:themeColor="text1"/>
          <w:sz w:val="20"/>
          <w:szCs w:val="20"/>
          <w:lang w:val="en-GB"/>
        </w:rPr>
        <w:t xml:space="preserve">as </w:t>
      </w:r>
      <w:r w:rsidR="007D4279" w:rsidRPr="00A13C35">
        <w:rPr>
          <w:color w:val="000000" w:themeColor="text1"/>
          <w:sz w:val="20"/>
          <w:szCs w:val="20"/>
          <w:lang w:val="en-GB"/>
        </w:rPr>
        <w:t>Operations Unit</w:t>
      </w:r>
      <w:r w:rsidRPr="00A13C35">
        <w:rPr>
          <w:color w:val="000000" w:themeColor="text1"/>
          <w:sz w:val="20"/>
          <w:szCs w:val="20"/>
          <w:lang w:val="en-GB"/>
        </w:rPr>
        <w:t xml:space="preserve"> will work with the project team to </w:t>
      </w:r>
      <w:r w:rsidR="00B726BF" w:rsidRPr="00A13C35">
        <w:rPr>
          <w:color w:val="000000" w:themeColor="text1"/>
          <w:sz w:val="20"/>
          <w:szCs w:val="20"/>
          <w:lang w:val="en-GB"/>
        </w:rPr>
        <w:t>e</w:t>
      </w:r>
      <w:r w:rsidRPr="00A13C35">
        <w:rPr>
          <w:color w:val="000000" w:themeColor="text1"/>
          <w:sz w:val="20"/>
          <w:szCs w:val="20"/>
          <w:lang w:val="en-GB"/>
        </w:rPr>
        <w:t>nsure quality</w:t>
      </w:r>
      <w:r w:rsidR="00FF680E" w:rsidRPr="00A13C35">
        <w:rPr>
          <w:color w:val="000000" w:themeColor="text1"/>
          <w:sz w:val="20"/>
          <w:szCs w:val="20"/>
          <w:lang w:val="en-GB"/>
        </w:rPr>
        <w:t xml:space="preserve"> implementation </w:t>
      </w:r>
      <w:r w:rsidRPr="00A13C35">
        <w:rPr>
          <w:color w:val="000000" w:themeColor="text1"/>
          <w:sz w:val="20"/>
          <w:szCs w:val="20"/>
          <w:lang w:val="en-GB"/>
        </w:rPr>
        <w:t>based on applicable Programme and Operations Policies and Procedures (POPP).</w:t>
      </w:r>
    </w:p>
    <w:p w14:paraId="4B2E24BD" w14:textId="77777777" w:rsidR="00A13C35" w:rsidRPr="00A13C35" w:rsidRDefault="00A13C35" w:rsidP="00A13C35">
      <w:pPr>
        <w:pStyle w:val="ListParagraph"/>
        <w:ind w:left="360"/>
        <w:jc w:val="both"/>
        <w:rPr>
          <w:color w:val="000000" w:themeColor="text1"/>
          <w:sz w:val="20"/>
          <w:szCs w:val="20"/>
        </w:rPr>
      </w:pPr>
    </w:p>
    <w:p w14:paraId="74067C7F" w14:textId="15D77725" w:rsidR="000D431D" w:rsidRPr="00A13C35" w:rsidRDefault="000D431D">
      <w:pPr>
        <w:pStyle w:val="ListParagraph"/>
        <w:numPr>
          <w:ilvl w:val="0"/>
          <w:numId w:val="29"/>
        </w:numPr>
        <w:jc w:val="both"/>
        <w:rPr>
          <w:color w:val="000000" w:themeColor="text1"/>
          <w:sz w:val="20"/>
          <w:szCs w:val="20"/>
        </w:rPr>
      </w:pPr>
      <w:r w:rsidRPr="00A13C35">
        <w:rPr>
          <w:color w:val="000000" w:themeColor="text1"/>
          <w:sz w:val="20"/>
          <w:szCs w:val="20"/>
        </w:rPr>
        <w:t>A brief description of roles and responsibilities of the PMU is provided in section 5.2. The PMU and the technical consultants’ team will work under the direct supervision of UNDP with guidance from the NDA.</w:t>
      </w:r>
    </w:p>
    <w:p w14:paraId="37E312B1" w14:textId="77777777" w:rsidR="000D431D" w:rsidRPr="002E32E8" w:rsidRDefault="000D431D" w:rsidP="000D431D">
      <w:pPr>
        <w:jc w:val="both"/>
        <w:rPr>
          <w:color w:val="000000" w:themeColor="text1"/>
          <w:sz w:val="20"/>
          <w:szCs w:val="20"/>
        </w:rPr>
      </w:pPr>
      <w:r w:rsidRPr="002E32E8">
        <w:rPr>
          <w:color w:val="000000" w:themeColor="text1"/>
          <w:sz w:val="20"/>
          <w:szCs w:val="20"/>
        </w:rPr>
        <w:t>The management arrangements for this project are summarized in the chart below:</w:t>
      </w:r>
    </w:p>
    <w:p w14:paraId="22ED4CD5" w14:textId="594E9904" w:rsidR="0063146E" w:rsidRDefault="001745F6" w:rsidP="000D431D">
      <w:pPr>
        <w:jc w:val="both"/>
        <w:rPr>
          <w:b/>
          <w:bCs/>
          <w:noProof/>
          <w:color w:val="000000" w:themeColor="text1"/>
        </w:rPr>
      </w:pPr>
      <w:r>
        <w:rPr>
          <w:noProof/>
        </w:rPr>
        <w:drawing>
          <wp:inline distT="0" distB="0" distL="0" distR="0" wp14:anchorId="2518431F" wp14:editId="76A3C757">
            <wp:extent cx="6042743" cy="3691783"/>
            <wp:effectExtent l="0" t="0" r="0" b="4445"/>
            <wp:docPr id="5635819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81964" name=""/>
                    <pic:cNvPicPr/>
                  </pic:nvPicPr>
                  <pic:blipFill>
                    <a:blip r:embed="rId28"/>
                    <a:stretch>
                      <a:fillRect/>
                    </a:stretch>
                  </pic:blipFill>
                  <pic:spPr>
                    <a:xfrm>
                      <a:off x="0" y="0"/>
                      <a:ext cx="6100765" cy="3727231"/>
                    </a:xfrm>
                    <a:prstGeom prst="rect">
                      <a:avLst/>
                    </a:prstGeom>
                  </pic:spPr>
                </pic:pic>
              </a:graphicData>
            </a:graphic>
          </wp:inline>
        </w:drawing>
      </w:r>
    </w:p>
    <w:p w14:paraId="6D8893E2" w14:textId="77777777" w:rsidR="00A854B6" w:rsidRDefault="00A854B6" w:rsidP="000D431D">
      <w:pPr>
        <w:jc w:val="both"/>
        <w:rPr>
          <w:b/>
          <w:bCs/>
          <w:noProof/>
          <w:color w:val="000000" w:themeColor="text1"/>
        </w:rPr>
        <w:sectPr w:rsidR="00A854B6" w:rsidSect="0048348F">
          <w:pgSz w:w="11907" w:h="16840" w:code="9"/>
          <w:pgMar w:top="1440" w:right="1440" w:bottom="1440" w:left="1440" w:header="720" w:footer="720" w:gutter="0"/>
          <w:cols w:space="720"/>
          <w:docGrid w:linePitch="360"/>
        </w:sectPr>
      </w:pPr>
    </w:p>
    <w:p w14:paraId="65D5BF0F" w14:textId="6B46364C" w:rsidR="00F97840" w:rsidRPr="000A0FB9" w:rsidRDefault="00F97840" w:rsidP="000A0FB9">
      <w:pPr>
        <w:pStyle w:val="ListParagraph"/>
        <w:numPr>
          <w:ilvl w:val="1"/>
          <w:numId w:val="31"/>
        </w:numPr>
        <w:tabs>
          <w:tab w:val="left" w:pos="720"/>
          <w:tab w:val="left" w:pos="7200"/>
        </w:tabs>
        <w:rPr>
          <w:b/>
          <w:color w:val="276E8B" w:themeColor="accent1" w:themeShade="BF"/>
        </w:rPr>
      </w:pPr>
      <w:r w:rsidRPr="000A0FB9">
        <w:rPr>
          <w:b/>
          <w:color w:val="276E8B" w:themeColor="accent1" w:themeShade="BF"/>
        </w:rPr>
        <w:lastRenderedPageBreak/>
        <w:t>Implementation and Execution Roles and responsibilities</w:t>
      </w:r>
      <w:r w:rsidR="00E614B3" w:rsidRPr="000A0FB9">
        <w:rPr>
          <w:b/>
          <w:color w:val="276E8B" w:themeColor="accent1" w:themeShade="BF"/>
        </w:rPr>
        <w:t xml:space="preserve"> </w:t>
      </w:r>
    </w:p>
    <w:p w14:paraId="50C24D20" w14:textId="0649FAB4" w:rsidR="006866EC" w:rsidRPr="007448C1" w:rsidRDefault="006866EC" w:rsidP="006866EC">
      <w:pPr>
        <w:jc w:val="both"/>
        <w:rPr>
          <w:color w:val="000000" w:themeColor="text1"/>
          <w:sz w:val="20"/>
          <w:szCs w:val="20"/>
        </w:rPr>
      </w:pPr>
      <w:r w:rsidRPr="007448C1">
        <w:rPr>
          <w:color w:val="000000" w:themeColor="text1"/>
          <w:sz w:val="20"/>
          <w:szCs w:val="20"/>
        </w:rPr>
        <w:t>As Delivery Partner, UNDP will manage and implement this grant and be responsible for procurement and contracting all services and consultants. Brief Terms of Reference (ToRs) are provided below for each type of individual consultants:</w:t>
      </w:r>
    </w:p>
    <w:tbl>
      <w:tblPr>
        <w:tblStyle w:val="ListTable3-Accent2"/>
        <w:tblW w:w="5000" w:type="pct"/>
        <w:tblBorders>
          <w:top w:val="single" w:sz="4" w:space="0" w:color="3494BA" w:themeColor="accent1"/>
          <w:left w:val="single" w:sz="4" w:space="0" w:color="3494BA" w:themeColor="accent1"/>
          <w:bottom w:val="single" w:sz="4" w:space="0" w:color="3494BA" w:themeColor="accent1"/>
          <w:right w:val="single" w:sz="4" w:space="0" w:color="3494BA" w:themeColor="accent1"/>
          <w:insideH w:val="single" w:sz="4" w:space="0" w:color="3494BA" w:themeColor="accent1"/>
          <w:insideV w:val="single" w:sz="4" w:space="0" w:color="3494BA" w:themeColor="accent1"/>
        </w:tblBorders>
        <w:tblLook w:val="04A0" w:firstRow="1" w:lastRow="0" w:firstColumn="1" w:lastColumn="0" w:noHBand="0" w:noVBand="1"/>
      </w:tblPr>
      <w:tblGrid>
        <w:gridCol w:w="1062"/>
        <w:gridCol w:w="1768"/>
        <w:gridCol w:w="2337"/>
        <w:gridCol w:w="4570"/>
        <w:gridCol w:w="3320"/>
        <w:gridCol w:w="893"/>
      </w:tblGrid>
      <w:tr w:rsidR="00A854B6" w:rsidRPr="00450B52" w14:paraId="6DEFB9F1" w14:textId="77777777" w:rsidTr="00F80EF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85" w:type="pct"/>
            <w:shd w:val="clear" w:color="auto" w:fill="3494BA" w:themeFill="accent1"/>
            <w:hideMark/>
          </w:tcPr>
          <w:p w14:paraId="33142C07" w14:textId="77777777" w:rsidR="00D83760" w:rsidRPr="00450B52" w:rsidRDefault="00D83760">
            <w:pPr>
              <w:spacing w:after="120"/>
              <w:rPr>
                <w:sz w:val="18"/>
                <w:szCs w:val="18"/>
                <w:lang w:val="en-GB" w:eastAsia="zh-CN"/>
              </w:rPr>
            </w:pPr>
            <w:r w:rsidRPr="00450B52">
              <w:rPr>
                <w:sz w:val="18"/>
                <w:szCs w:val="18"/>
                <w:lang w:val="en-GB" w:eastAsia="zh-CN"/>
              </w:rPr>
              <w:t> Entity </w:t>
            </w:r>
          </w:p>
        </w:tc>
        <w:tc>
          <w:tcPr>
            <w:tcW w:w="613" w:type="pct"/>
            <w:shd w:val="clear" w:color="auto" w:fill="3494BA" w:themeFill="accent1"/>
            <w:hideMark/>
          </w:tcPr>
          <w:p w14:paraId="27E9C7C9" w14:textId="77777777" w:rsidR="00D83760" w:rsidRPr="00450B52" w:rsidRDefault="00D83760">
            <w:pPr>
              <w:spacing w:after="120"/>
              <w:cnfStyle w:val="100000000000" w:firstRow="1" w:lastRow="0" w:firstColumn="0" w:lastColumn="0" w:oddVBand="0" w:evenVBand="0" w:oddHBand="0" w:evenHBand="0" w:firstRowFirstColumn="0" w:firstRowLastColumn="0" w:lastRowFirstColumn="0" w:lastRowLastColumn="0"/>
              <w:rPr>
                <w:sz w:val="18"/>
                <w:szCs w:val="18"/>
                <w:lang w:val="en-GB" w:eastAsia="zh-CN"/>
              </w:rPr>
            </w:pPr>
            <w:r w:rsidRPr="00450B52">
              <w:rPr>
                <w:sz w:val="18"/>
                <w:szCs w:val="18"/>
                <w:lang w:val="en-GB" w:eastAsia="zh-CN"/>
              </w:rPr>
              <w:t>Position Title </w:t>
            </w:r>
          </w:p>
        </w:tc>
        <w:tc>
          <w:tcPr>
            <w:tcW w:w="842" w:type="pct"/>
            <w:shd w:val="clear" w:color="auto" w:fill="3494BA" w:themeFill="accent1"/>
            <w:hideMark/>
          </w:tcPr>
          <w:p w14:paraId="4EA2292F" w14:textId="77777777" w:rsidR="00D83760" w:rsidRPr="00450B52" w:rsidRDefault="00D83760">
            <w:pPr>
              <w:spacing w:after="120"/>
              <w:cnfStyle w:val="100000000000" w:firstRow="1" w:lastRow="0" w:firstColumn="0" w:lastColumn="0" w:oddVBand="0" w:evenVBand="0" w:oddHBand="0" w:evenHBand="0" w:firstRowFirstColumn="0" w:firstRowLastColumn="0" w:lastRowFirstColumn="0" w:lastRowLastColumn="0"/>
              <w:rPr>
                <w:sz w:val="18"/>
                <w:szCs w:val="18"/>
                <w:lang w:val="en-GB" w:eastAsia="zh-CN"/>
              </w:rPr>
            </w:pPr>
            <w:r w:rsidRPr="00450B52">
              <w:rPr>
                <w:sz w:val="18"/>
                <w:szCs w:val="18"/>
                <w:lang w:val="en-GB" w:eastAsia="zh-CN"/>
              </w:rPr>
              <w:t>Outputs </w:t>
            </w:r>
          </w:p>
        </w:tc>
        <w:tc>
          <w:tcPr>
            <w:tcW w:w="1642" w:type="pct"/>
            <w:shd w:val="clear" w:color="auto" w:fill="3494BA" w:themeFill="accent1"/>
            <w:hideMark/>
          </w:tcPr>
          <w:p w14:paraId="3E12CEA2" w14:textId="77777777" w:rsidR="00D83760" w:rsidRPr="00450B52" w:rsidRDefault="00D83760">
            <w:pPr>
              <w:spacing w:after="120"/>
              <w:cnfStyle w:val="100000000000" w:firstRow="1" w:lastRow="0" w:firstColumn="0" w:lastColumn="0" w:oddVBand="0" w:evenVBand="0" w:oddHBand="0" w:evenHBand="0" w:firstRowFirstColumn="0" w:firstRowLastColumn="0" w:lastRowFirstColumn="0" w:lastRowLastColumn="0"/>
              <w:rPr>
                <w:sz w:val="18"/>
                <w:szCs w:val="18"/>
                <w:lang w:val="en-GB" w:eastAsia="zh-CN"/>
              </w:rPr>
            </w:pPr>
            <w:r w:rsidRPr="00450B52">
              <w:rPr>
                <w:sz w:val="18"/>
                <w:szCs w:val="18"/>
                <w:lang w:val="en-GB" w:eastAsia="zh-CN"/>
              </w:rPr>
              <w:t>Responsibilities </w:t>
            </w:r>
          </w:p>
        </w:tc>
        <w:tc>
          <w:tcPr>
            <w:tcW w:w="1194" w:type="pct"/>
            <w:shd w:val="clear" w:color="auto" w:fill="3494BA" w:themeFill="accent1"/>
            <w:hideMark/>
          </w:tcPr>
          <w:p w14:paraId="728DFF88" w14:textId="77777777" w:rsidR="00D83760" w:rsidRPr="00450B52" w:rsidRDefault="00D83760">
            <w:pPr>
              <w:spacing w:after="120"/>
              <w:cnfStyle w:val="100000000000" w:firstRow="1" w:lastRow="0" w:firstColumn="0" w:lastColumn="0" w:oddVBand="0" w:evenVBand="0" w:oddHBand="0" w:evenHBand="0" w:firstRowFirstColumn="0" w:firstRowLastColumn="0" w:lastRowFirstColumn="0" w:lastRowLastColumn="0"/>
              <w:rPr>
                <w:sz w:val="18"/>
                <w:szCs w:val="18"/>
                <w:lang w:val="en-GB" w:eastAsia="zh-CN"/>
              </w:rPr>
            </w:pPr>
            <w:r w:rsidRPr="00450B52">
              <w:rPr>
                <w:sz w:val="18"/>
                <w:szCs w:val="18"/>
                <w:lang w:val="en-GB" w:eastAsia="zh-CN"/>
              </w:rPr>
              <w:t>Minimum Qualifications </w:t>
            </w:r>
          </w:p>
        </w:tc>
        <w:tc>
          <w:tcPr>
            <w:tcW w:w="324" w:type="pct"/>
            <w:shd w:val="clear" w:color="auto" w:fill="3494BA" w:themeFill="accent1"/>
          </w:tcPr>
          <w:p w14:paraId="4C90E6B6" w14:textId="77777777" w:rsidR="00D83760" w:rsidRPr="004F5B02" w:rsidRDefault="00D83760">
            <w:pPr>
              <w:spacing w:after="120"/>
              <w:cnfStyle w:val="100000000000" w:firstRow="1" w:lastRow="0" w:firstColumn="0" w:lastColumn="0" w:oddVBand="0" w:evenVBand="0" w:oddHBand="0" w:evenHBand="0" w:firstRowFirstColumn="0" w:firstRowLastColumn="0" w:lastRowFirstColumn="0" w:lastRowLastColumn="0"/>
              <w:rPr>
                <w:sz w:val="18"/>
                <w:szCs w:val="18"/>
                <w:lang w:val="ru-RU" w:eastAsia="zh-CN"/>
              </w:rPr>
            </w:pPr>
            <w:r>
              <w:rPr>
                <w:sz w:val="18"/>
                <w:szCs w:val="18"/>
                <w:lang w:val="en-GB" w:eastAsia="zh-CN"/>
              </w:rPr>
              <w:t>Budget note</w:t>
            </w:r>
          </w:p>
        </w:tc>
      </w:tr>
      <w:tr w:rsidR="00D83760" w:rsidRPr="00450B52" w14:paraId="591573B8"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20BD4CFC" w14:textId="77777777" w:rsidR="00D83760" w:rsidRPr="00341B55" w:rsidRDefault="00D83760">
            <w:pPr>
              <w:rPr>
                <w:sz w:val="18"/>
                <w:szCs w:val="18"/>
                <w:highlight w:val="yellow"/>
                <w:lang w:val="en-GB" w:eastAsia="zh-CN"/>
              </w:rPr>
            </w:pPr>
            <w:r w:rsidRPr="0070062D">
              <w:rPr>
                <w:color w:val="808080" w:themeColor="background1" w:themeShade="80"/>
                <w:sz w:val="18"/>
                <w:szCs w:val="18"/>
              </w:rPr>
              <w:t>DP</w:t>
            </w:r>
          </w:p>
        </w:tc>
        <w:tc>
          <w:tcPr>
            <w:tcW w:w="613" w:type="pct"/>
          </w:tcPr>
          <w:p w14:paraId="0232558B" w14:textId="5903ABC2" w:rsidR="00D83760"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70062D">
              <w:rPr>
                <w:sz w:val="18"/>
                <w:szCs w:val="18"/>
                <w:lang w:val="en-GB" w:eastAsia="zh-CN"/>
              </w:rPr>
              <w:t>International specialist in validation, verification and reporting systems (intern</w:t>
            </w:r>
            <w:r>
              <w:rPr>
                <w:sz w:val="18"/>
                <w:szCs w:val="18"/>
                <w:lang w:val="en-GB" w:eastAsia="zh-CN"/>
              </w:rPr>
              <w:t>a</w:t>
            </w:r>
            <w:r w:rsidRPr="0070062D">
              <w:rPr>
                <w:sz w:val="18"/>
                <w:szCs w:val="18"/>
                <w:lang w:val="en-GB" w:eastAsia="zh-CN"/>
              </w:rPr>
              <w:t>tional consultant)</w:t>
            </w:r>
          </w:p>
          <w:p w14:paraId="60085E41" w14:textId="77777777" w:rsidR="00D83760" w:rsidRPr="00341B5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highlight w:val="yellow"/>
                <w:lang w:val="en-GB" w:eastAsia="zh-CN"/>
              </w:rPr>
            </w:pPr>
          </w:p>
        </w:tc>
        <w:tc>
          <w:tcPr>
            <w:tcW w:w="842" w:type="pct"/>
          </w:tcPr>
          <w:p w14:paraId="1CE43FAD" w14:textId="77777777" w:rsidR="00D83760"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rPr>
            </w:pPr>
            <w:r w:rsidRPr="00C55F09">
              <w:rPr>
                <w:sz w:val="18"/>
                <w:szCs w:val="18"/>
              </w:rPr>
              <w:t>Output 1.3.1. Relevant stakeholders engaged and trained to support planning, programming and implementation of GCF funded activities.</w:t>
            </w:r>
          </w:p>
          <w:p w14:paraId="3C14DCA0" w14:textId="314D9745" w:rsidR="000823CE" w:rsidRPr="0070062D" w:rsidRDefault="00272785">
            <w:pPr>
              <w:spacing w:after="120"/>
              <w:cnfStyle w:val="000000100000" w:firstRow="0" w:lastRow="0" w:firstColumn="0" w:lastColumn="0" w:oddVBand="0" w:evenVBand="0" w:oddHBand="1" w:evenHBand="0" w:firstRowFirstColumn="0" w:firstRowLastColumn="0" w:lastRowFirstColumn="0" w:lastRowLastColumn="0"/>
              <w:rPr>
                <w:sz w:val="18"/>
                <w:szCs w:val="18"/>
                <w:highlight w:val="yellow"/>
                <w:lang w:val="en-GB" w:eastAsia="zh-CN"/>
              </w:rPr>
            </w:pPr>
            <w:r w:rsidRPr="00272785">
              <w:rPr>
                <w:sz w:val="18"/>
                <w:szCs w:val="18"/>
              </w:rPr>
              <w:t>Output 1.1.3. Decision making processes defined and operationalized at the NDA level for No-Objection Letters and consideration/facilitation of climate change project.</w:t>
            </w:r>
          </w:p>
        </w:tc>
        <w:tc>
          <w:tcPr>
            <w:tcW w:w="1642" w:type="pct"/>
          </w:tcPr>
          <w:p w14:paraId="0760BE05" w14:textId="394EC3D0" w:rsidR="00D83760" w:rsidRPr="00382F23"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382F23">
              <w:rPr>
                <w:sz w:val="18"/>
                <w:szCs w:val="18"/>
                <w:lang w:val="en-GB" w:eastAsia="zh-CN"/>
              </w:rPr>
              <w:t>Review and develop validation, verification and reporting systems of targeted financial institutions in line with global standards and national regulatory framework (Activity 1.</w:t>
            </w:r>
            <w:r w:rsidR="009B2BBE">
              <w:rPr>
                <w:sz w:val="18"/>
                <w:szCs w:val="18"/>
                <w:lang w:val="en-GB" w:eastAsia="zh-CN"/>
              </w:rPr>
              <w:t>1</w:t>
            </w:r>
            <w:r w:rsidRPr="00382F23">
              <w:rPr>
                <w:sz w:val="18"/>
                <w:szCs w:val="18"/>
                <w:lang w:val="en-GB" w:eastAsia="zh-CN"/>
              </w:rPr>
              <w:t>.</w:t>
            </w:r>
            <w:r w:rsidR="009B2BBE">
              <w:rPr>
                <w:sz w:val="18"/>
                <w:szCs w:val="18"/>
                <w:lang w:val="en-GB" w:eastAsia="zh-CN"/>
              </w:rPr>
              <w:t>3</w:t>
            </w:r>
            <w:r w:rsidRPr="00382F23">
              <w:rPr>
                <w:sz w:val="18"/>
                <w:szCs w:val="18"/>
                <w:lang w:val="en-GB" w:eastAsia="zh-CN"/>
              </w:rPr>
              <w:t>.</w:t>
            </w:r>
            <w:r w:rsidR="00BC0056" w:rsidRPr="00382F23">
              <w:rPr>
                <w:sz w:val="18"/>
                <w:szCs w:val="18"/>
                <w:lang w:val="en-GB" w:eastAsia="zh-CN"/>
              </w:rPr>
              <w:t>2</w:t>
            </w:r>
            <w:r w:rsidRPr="00382F23">
              <w:rPr>
                <w:sz w:val="18"/>
                <w:szCs w:val="18"/>
                <w:lang w:val="en-GB" w:eastAsia="zh-CN"/>
              </w:rPr>
              <w:t>.a):</w:t>
            </w:r>
          </w:p>
          <w:p w14:paraId="25667BC4" w14:textId="77777777" w:rsidR="00D83760" w:rsidRPr="00382F23"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382F23">
              <w:rPr>
                <w:sz w:val="18"/>
                <w:szCs w:val="18"/>
                <w:lang w:val="en-GB" w:eastAsia="zh-CN"/>
              </w:rPr>
              <w:t>a. review and enhance validation, verification and reporting systems in targeted financial institutions, provide guidance for drafting corporate procedures.</w:t>
            </w:r>
          </w:p>
          <w:p w14:paraId="67A6DFA6" w14:textId="77777777" w:rsidR="00D83760" w:rsidRPr="00382F23"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382F23">
              <w:rPr>
                <w:sz w:val="18"/>
                <w:szCs w:val="18"/>
                <w:lang w:val="en-GB" w:eastAsia="zh-CN"/>
              </w:rPr>
              <w:t>b.</w:t>
            </w:r>
            <w:r w:rsidRPr="00382F23">
              <w:t xml:space="preserve"> </w:t>
            </w:r>
            <w:r w:rsidRPr="00382F23">
              <w:rPr>
                <w:sz w:val="18"/>
                <w:szCs w:val="18"/>
                <w:lang w:val="en-GB" w:eastAsia="zh-CN"/>
              </w:rPr>
              <w:t>capacitate targeted financial institutions on the validation, verification and reporting systems.</w:t>
            </w:r>
          </w:p>
          <w:p w14:paraId="07DECE28" w14:textId="15F7E273" w:rsidR="00D83760" w:rsidRPr="00382F23"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382F23">
              <w:rPr>
                <w:sz w:val="18"/>
                <w:szCs w:val="18"/>
                <w:lang w:val="en-GB" w:eastAsia="zh-CN"/>
              </w:rPr>
              <w:t xml:space="preserve">c. </w:t>
            </w:r>
            <w:proofErr w:type="gramStart"/>
            <w:r w:rsidRPr="00382F23">
              <w:rPr>
                <w:sz w:val="18"/>
                <w:szCs w:val="18"/>
                <w:lang w:val="en-GB" w:eastAsia="zh-CN"/>
              </w:rPr>
              <w:t>develop</w:t>
            </w:r>
            <w:proofErr w:type="gramEnd"/>
            <w:r w:rsidRPr="00382F23">
              <w:rPr>
                <w:sz w:val="18"/>
                <w:szCs w:val="18"/>
                <w:lang w:val="en-GB" w:eastAsia="zh-CN"/>
              </w:rPr>
              <w:t xml:space="preserve"> guidelines for the financial institutions to setup validation, verification and reporting framework in line with global standards and national regulatory framework</w:t>
            </w:r>
            <w:r w:rsidR="00A1208E">
              <w:rPr>
                <w:sz w:val="18"/>
                <w:szCs w:val="18"/>
                <w:lang w:val="en-GB" w:eastAsia="zh-CN"/>
              </w:rPr>
              <w:t>.</w:t>
            </w:r>
          </w:p>
          <w:p w14:paraId="099788C3" w14:textId="21D6AAC6" w:rsidR="00D83760" w:rsidRPr="00382F23"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382F23">
              <w:rPr>
                <w:sz w:val="18"/>
                <w:szCs w:val="18"/>
                <w:lang w:val="en-GB" w:eastAsia="zh-CN"/>
              </w:rPr>
              <w:t>Capacitate financial institutions on the validation, verification and reporting system (</w:t>
            </w:r>
            <w:r w:rsidR="00382F23" w:rsidRPr="00382F23">
              <w:rPr>
                <w:sz w:val="18"/>
                <w:szCs w:val="18"/>
                <w:lang w:val="en-GB" w:eastAsia="zh-CN"/>
              </w:rPr>
              <w:t>Activity 1.</w:t>
            </w:r>
            <w:r w:rsidR="00134A70">
              <w:rPr>
                <w:sz w:val="18"/>
                <w:szCs w:val="18"/>
                <w:lang w:val="en-GB" w:eastAsia="zh-CN"/>
              </w:rPr>
              <w:t>3</w:t>
            </w:r>
            <w:r w:rsidR="00382F23" w:rsidRPr="00382F23">
              <w:rPr>
                <w:sz w:val="18"/>
                <w:szCs w:val="18"/>
                <w:lang w:val="en-GB" w:eastAsia="zh-CN"/>
              </w:rPr>
              <w:t>.</w:t>
            </w:r>
            <w:r w:rsidR="00134A70">
              <w:rPr>
                <w:sz w:val="18"/>
                <w:szCs w:val="18"/>
                <w:lang w:val="en-GB" w:eastAsia="zh-CN"/>
              </w:rPr>
              <w:t>1</w:t>
            </w:r>
            <w:r w:rsidR="00382F23" w:rsidRPr="00382F23">
              <w:rPr>
                <w:sz w:val="18"/>
                <w:szCs w:val="18"/>
                <w:lang w:val="en-GB" w:eastAsia="zh-CN"/>
              </w:rPr>
              <w:t>.</w:t>
            </w:r>
            <w:r w:rsidR="00134A70">
              <w:rPr>
                <w:sz w:val="18"/>
                <w:szCs w:val="18"/>
                <w:lang w:val="en-GB" w:eastAsia="zh-CN"/>
              </w:rPr>
              <w:t>1</w:t>
            </w:r>
            <w:r w:rsidR="00382F23" w:rsidRPr="00382F23">
              <w:rPr>
                <w:sz w:val="18"/>
                <w:szCs w:val="18"/>
                <w:lang w:val="en-GB" w:eastAsia="zh-CN"/>
              </w:rPr>
              <w:t>.a</w:t>
            </w:r>
            <w:r w:rsidRPr="00382F23">
              <w:rPr>
                <w:sz w:val="18"/>
                <w:szCs w:val="18"/>
                <w:lang w:val="en-GB" w:eastAsia="zh-CN"/>
              </w:rPr>
              <w:t>):</w:t>
            </w:r>
          </w:p>
          <w:p w14:paraId="1566451C" w14:textId="26AC60DB" w:rsidR="00D83760" w:rsidRPr="00382F23"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382F23">
              <w:rPr>
                <w:sz w:val="18"/>
                <w:szCs w:val="18"/>
                <w:lang w:val="en-GB" w:eastAsia="zh-CN"/>
              </w:rPr>
              <w:t xml:space="preserve">a. </w:t>
            </w:r>
            <w:proofErr w:type="gramStart"/>
            <w:r w:rsidRPr="00382F23">
              <w:rPr>
                <w:sz w:val="18"/>
                <w:szCs w:val="18"/>
                <w:lang w:val="en-GB" w:eastAsia="zh-CN"/>
              </w:rPr>
              <w:t>lead</w:t>
            </w:r>
            <w:proofErr w:type="gramEnd"/>
            <w:r w:rsidRPr="00382F23">
              <w:rPr>
                <w:sz w:val="18"/>
                <w:szCs w:val="18"/>
                <w:lang w:val="en-GB" w:eastAsia="zh-CN"/>
              </w:rPr>
              <w:t xml:space="preserve"> the development of </w:t>
            </w:r>
            <w:r w:rsidR="00217856">
              <w:rPr>
                <w:sz w:val="18"/>
                <w:szCs w:val="18"/>
                <w:lang w:val="en-GB" w:eastAsia="zh-CN"/>
              </w:rPr>
              <w:t xml:space="preserve">gender responsive </w:t>
            </w:r>
            <w:r w:rsidRPr="00382F23">
              <w:rPr>
                <w:sz w:val="18"/>
                <w:szCs w:val="18"/>
                <w:lang w:val="en-GB" w:eastAsia="zh-CN"/>
              </w:rPr>
              <w:t>training materials on validation, verification and reporting systems based on learnings from Activity 1.3.1.</w:t>
            </w:r>
            <w:r w:rsidR="00382F23" w:rsidRPr="00382F23">
              <w:rPr>
                <w:sz w:val="18"/>
                <w:szCs w:val="18"/>
                <w:lang w:val="en-GB" w:eastAsia="zh-CN"/>
              </w:rPr>
              <w:t>2</w:t>
            </w:r>
            <w:r w:rsidRPr="00382F23">
              <w:rPr>
                <w:sz w:val="18"/>
                <w:szCs w:val="18"/>
                <w:lang w:val="en-GB" w:eastAsia="zh-CN"/>
              </w:rPr>
              <w:t>. a.</w:t>
            </w:r>
          </w:p>
          <w:p w14:paraId="0F75F35B" w14:textId="6C045011" w:rsidR="00D83760" w:rsidRPr="00382F23"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382F23">
              <w:rPr>
                <w:sz w:val="18"/>
                <w:szCs w:val="18"/>
                <w:lang w:val="en-GB" w:eastAsia="zh-CN"/>
              </w:rPr>
              <w:t xml:space="preserve">b. support provision of </w:t>
            </w:r>
            <w:r w:rsidR="0063693B">
              <w:rPr>
                <w:sz w:val="18"/>
                <w:szCs w:val="18"/>
                <w:lang w:val="en-GB" w:eastAsia="zh-CN"/>
              </w:rPr>
              <w:t xml:space="preserve">gender inclusive </w:t>
            </w:r>
            <w:proofErr w:type="spellStart"/>
            <w:r w:rsidRPr="00382F23">
              <w:rPr>
                <w:sz w:val="18"/>
                <w:szCs w:val="18"/>
                <w:lang w:val="en-GB" w:eastAsia="zh-CN"/>
              </w:rPr>
              <w:t>ToTs</w:t>
            </w:r>
            <w:proofErr w:type="spellEnd"/>
            <w:r w:rsidRPr="00382F23">
              <w:rPr>
                <w:sz w:val="18"/>
                <w:szCs w:val="18"/>
                <w:lang w:val="en-GB" w:eastAsia="zh-CN"/>
              </w:rPr>
              <w:t xml:space="preserve"> to capacitate of a CSO on further capacity building of financial institutions on validation, verification and reporting.</w:t>
            </w:r>
          </w:p>
        </w:tc>
        <w:tc>
          <w:tcPr>
            <w:tcW w:w="1194" w:type="pct"/>
          </w:tcPr>
          <w:p w14:paraId="3B0595AB" w14:textId="77777777" w:rsidR="00D83760" w:rsidRDefault="00D8376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A24277">
              <w:rPr>
                <w:sz w:val="18"/>
                <w:szCs w:val="18"/>
              </w:rPr>
              <w:t xml:space="preserve">Master’s degree in </w:t>
            </w:r>
            <w:r>
              <w:rPr>
                <w:sz w:val="18"/>
                <w:szCs w:val="18"/>
              </w:rPr>
              <w:t xml:space="preserve">finance, </w:t>
            </w:r>
            <w:r w:rsidRPr="00A24277">
              <w:rPr>
                <w:sz w:val="18"/>
                <w:szCs w:val="18"/>
              </w:rPr>
              <w:t>economic or social science studies or another relevant field</w:t>
            </w:r>
          </w:p>
          <w:p w14:paraId="604B9005" w14:textId="77777777" w:rsidR="00D83760"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A24277">
              <w:rPr>
                <w:sz w:val="18"/>
                <w:szCs w:val="18"/>
              </w:rPr>
              <w:t>Multiple years of experience in validation, verification and reporting in</w:t>
            </w:r>
            <w:r>
              <w:rPr>
                <w:sz w:val="18"/>
                <w:szCs w:val="18"/>
              </w:rPr>
              <w:t>/with financial</w:t>
            </w:r>
            <w:r w:rsidRPr="00A24277">
              <w:rPr>
                <w:sz w:val="18"/>
                <w:szCs w:val="18"/>
              </w:rPr>
              <w:t xml:space="preserve"> institutions</w:t>
            </w:r>
          </w:p>
          <w:p w14:paraId="4DE0F3EC" w14:textId="77777777" w:rsidR="00D83760"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Professional knowledge of </w:t>
            </w:r>
            <w:r w:rsidRPr="00A24277">
              <w:rPr>
                <w:sz w:val="18"/>
                <w:szCs w:val="18"/>
              </w:rPr>
              <w:t>internal control frameworks</w:t>
            </w:r>
          </w:p>
          <w:p w14:paraId="49FA71FC" w14:textId="77777777" w:rsidR="00D83760" w:rsidRPr="00A24277" w:rsidRDefault="00D8376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Several years of experience with ESG principles application</w:t>
            </w:r>
          </w:p>
          <w:p w14:paraId="27F3B4CD" w14:textId="77777777" w:rsidR="00D83760" w:rsidRPr="00A62E10" w:rsidRDefault="00D8376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A62E10">
              <w:rPr>
                <w:sz w:val="18"/>
                <w:szCs w:val="18"/>
              </w:rPr>
              <w:t xml:space="preserve">Experience in developing </w:t>
            </w:r>
            <w:proofErr w:type="spellStart"/>
            <w:r w:rsidRPr="00A62E10">
              <w:rPr>
                <w:sz w:val="18"/>
                <w:szCs w:val="18"/>
              </w:rPr>
              <w:t>ToTs</w:t>
            </w:r>
            <w:proofErr w:type="spellEnd"/>
          </w:p>
          <w:p w14:paraId="4B6BF7A9" w14:textId="77777777" w:rsidR="00D83760" w:rsidRPr="00A24277" w:rsidRDefault="00D83760">
            <w:pPr>
              <w:pStyle w:val="ListParagraph"/>
              <w:ind w:left="360"/>
              <w:cnfStyle w:val="000000100000" w:firstRow="0" w:lastRow="0" w:firstColumn="0" w:lastColumn="0" w:oddVBand="0" w:evenVBand="0" w:oddHBand="1" w:evenHBand="0" w:firstRowFirstColumn="0" w:firstRowLastColumn="0" w:lastRowFirstColumn="0" w:lastRowLastColumn="0"/>
              <w:rPr>
                <w:sz w:val="18"/>
                <w:szCs w:val="18"/>
              </w:rPr>
            </w:pPr>
          </w:p>
        </w:tc>
        <w:tc>
          <w:tcPr>
            <w:tcW w:w="324" w:type="pct"/>
          </w:tcPr>
          <w:p w14:paraId="0808EA69" w14:textId="550988A1" w:rsidR="00D83760" w:rsidRPr="00341B55" w:rsidRDefault="00D83760">
            <w:pPr>
              <w:cnfStyle w:val="000000100000" w:firstRow="0" w:lastRow="0" w:firstColumn="0" w:lastColumn="0" w:oddVBand="0" w:evenVBand="0" w:oddHBand="1" w:evenHBand="0" w:firstRowFirstColumn="0" w:firstRowLastColumn="0" w:lastRowFirstColumn="0" w:lastRowLastColumn="0"/>
            </w:pPr>
            <w:r w:rsidRPr="00207E08">
              <w:rPr>
                <w:sz w:val="18"/>
                <w:szCs w:val="18"/>
              </w:rPr>
              <w:t>A</w:t>
            </w:r>
          </w:p>
        </w:tc>
      </w:tr>
      <w:tr w:rsidR="00D83760" w:rsidRPr="00450B52" w14:paraId="691CD8A4" w14:textId="77777777" w:rsidTr="00F80EF7">
        <w:tc>
          <w:tcPr>
            <w:cnfStyle w:val="001000000000" w:firstRow="0" w:lastRow="0" w:firstColumn="1" w:lastColumn="0" w:oddVBand="0" w:evenVBand="0" w:oddHBand="0" w:evenHBand="0" w:firstRowFirstColumn="0" w:firstRowLastColumn="0" w:lastRowFirstColumn="0" w:lastRowLastColumn="0"/>
            <w:tcW w:w="385" w:type="pct"/>
          </w:tcPr>
          <w:p w14:paraId="27052ED0" w14:textId="77777777" w:rsidR="00D83760" w:rsidRPr="0070062D" w:rsidRDefault="00D83760">
            <w:pPr>
              <w:rPr>
                <w:color w:val="808080" w:themeColor="background1" w:themeShade="80"/>
                <w:sz w:val="18"/>
                <w:szCs w:val="18"/>
              </w:rPr>
            </w:pPr>
            <w:r w:rsidRPr="0070062D">
              <w:rPr>
                <w:color w:val="808080" w:themeColor="background1" w:themeShade="80"/>
                <w:sz w:val="18"/>
                <w:szCs w:val="18"/>
              </w:rPr>
              <w:t>DP</w:t>
            </w:r>
          </w:p>
        </w:tc>
        <w:tc>
          <w:tcPr>
            <w:tcW w:w="613" w:type="pct"/>
          </w:tcPr>
          <w:p w14:paraId="0CE1BAA8" w14:textId="77777777" w:rsidR="00D83760" w:rsidRPr="00341B55" w:rsidRDefault="00D83760">
            <w:pPr>
              <w:spacing w:after="120"/>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highlight w:val="yellow"/>
              </w:rPr>
            </w:pPr>
            <w:r w:rsidRPr="00A24277">
              <w:rPr>
                <w:sz w:val="18"/>
                <w:szCs w:val="18"/>
                <w:lang w:val="en-GB" w:eastAsia="zh-CN"/>
              </w:rPr>
              <w:t>Local banking sector and internal control frameworks expert (local consultant)</w:t>
            </w:r>
          </w:p>
        </w:tc>
        <w:tc>
          <w:tcPr>
            <w:tcW w:w="842" w:type="pct"/>
          </w:tcPr>
          <w:p w14:paraId="6D64AC52" w14:textId="77777777" w:rsidR="00F07563" w:rsidRPr="00F07563" w:rsidRDefault="00F07563" w:rsidP="00F07563">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F07563">
              <w:rPr>
                <w:sz w:val="18"/>
                <w:szCs w:val="18"/>
              </w:rPr>
              <w:t>Output 1.3.1. Relevant stakeholders engaged and trained to support planning, programming and implementation of GCF funded activities.</w:t>
            </w:r>
          </w:p>
          <w:p w14:paraId="4AC27162" w14:textId="4A33BEF3" w:rsidR="00D83760" w:rsidRPr="00F07563" w:rsidRDefault="00F07563" w:rsidP="00F07563">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F07563">
              <w:rPr>
                <w:sz w:val="18"/>
                <w:szCs w:val="18"/>
              </w:rPr>
              <w:t xml:space="preserve">Output 1.1.3. Decision making processes defined </w:t>
            </w:r>
            <w:r w:rsidRPr="00F07563">
              <w:rPr>
                <w:sz w:val="18"/>
                <w:szCs w:val="18"/>
              </w:rPr>
              <w:lastRenderedPageBreak/>
              <w:t>and operationalized at the NDA level for No-Objection Letters and  consideration/facilitation of climate change project.</w:t>
            </w:r>
          </w:p>
        </w:tc>
        <w:tc>
          <w:tcPr>
            <w:tcW w:w="1642" w:type="pct"/>
          </w:tcPr>
          <w:p w14:paraId="208498D7" w14:textId="5AEF8EC2" w:rsidR="00D83760" w:rsidRPr="00F07563"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07563">
              <w:rPr>
                <w:sz w:val="18"/>
                <w:szCs w:val="18"/>
                <w:lang w:val="en-GB" w:eastAsia="zh-CN"/>
              </w:rPr>
              <w:lastRenderedPageBreak/>
              <w:t xml:space="preserve">Review and develop validation, verification and reporting systems of targeted financial institutions in line with global standards and national regulatory framework (Activity </w:t>
            </w:r>
            <w:r w:rsidR="00F07563" w:rsidRPr="00F07563">
              <w:rPr>
                <w:sz w:val="18"/>
                <w:szCs w:val="18"/>
                <w:lang w:val="en-GB" w:eastAsia="zh-CN"/>
              </w:rPr>
              <w:t>1.1.3.2.a</w:t>
            </w:r>
            <w:r w:rsidRPr="00F07563">
              <w:rPr>
                <w:sz w:val="18"/>
                <w:szCs w:val="18"/>
                <w:lang w:val="en-GB" w:eastAsia="zh-CN"/>
              </w:rPr>
              <w:t>):</w:t>
            </w:r>
          </w:p>
          <w:p w14:paraId="19E83A96" w14:textId="77777777" w:rsidR="00D83760" w:rsidRPr="00F07563"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07563">
              <w:rPr>
                <w:sz w:val="18"/>
                <w:szCs w:val="18"/>
                <w:lang w:val="en-GB" w:eastAsia="zh-CN"/>
              </w:rPr>
              <w:t>a. provide technical assistance to review and enhance validation, verification and reporting systems in targeted financial institutions, draft corporate procedures.</w:t>
            </w:r>
          </w:p>
          <w:p w14:paraId="7D1C5518" w14:textId="77777777" w:rsidR="00D83760" w:rsidRPr="00F07563"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07563">
              <w:rPr>
                <w:sz w:val="18"/>
                <w:szCs w:val="18"/>
                <w:lang w:val="en-GB" w:eastAsia="zh-CN"/>
              </w:rPr>
              <w:lastRenderedPageBreak/>
              <w:t>b.</w:t>
            </w:r>
            <w:r w:rsidRPr="00F07563">
              <w:t xml:space="preserve"> </w:t>
            </w:r>
            <w:r w:rsidRPr="00F07563">
              <w:rPr>
                <w:sz w:val="18"/>
                <w:szCs w:val="18"/>
                <w:lang w:val="en-GB" w:eastAsia="zh-CN"/>
              </w:rPr>
              <w:t>support the capacitation of targeted financial institutions on the validation, verification and reporting systems.</w:t>
            </w:r>
          </w:p>
          <w:p w14:paraId="42F97A4C" w14:textId="77777777" w:rsidR="00D83760" w:rsidRPr="00F07563"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07563">
              <w:rPr>
                <w:sz w:val="18"/>
                <w:szCs w:val="18"/>
                <w:lang w:val="en-GB" w:eastAsia="zh-CN"/>
              </w:rPr>
              <w:t>c. provide inputs to develop guidelines for the financial institutions to setup validation, verification and reporting framework in line with global standards and national regulatory framework.</w:t>
            </w:r>
          </w:p>
          <w:p w14:paraId="77D583C2" w14:textId="741570D8" w:rsidR="00D83760" w:rsidRPr="00F07563"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07563">
              <w:rPr>
                <w:sz w:val="18"/>
                <w:szCs w:val="18"/>
                <w:lang w:val="en-GB" w:eastAsia="zh-CN"/>
              </w:rPr>
              <w:t xml:space="preserve">Capacitate financial institutions on the validation, verification and reporting system (Activity </w:t>
            </w:r>
            <w:r w:rsidR="00F07563" w:rsidRPr="00382F23">
              <w:rPr>
                <w:sz w:val="18"/>
                <w:szCs w:val="18"/>
                <w:lang w:val="en-GB" w:eastAsia="zh-CN"/>
              </w:rPr>
              <w:t>1.</w:t>
            </w:r>
            <w:r w:rsidR="00F07563">
              <w:rPr>
                <w:sz w:val="18"/>
                <w:szCs w:val="18"/>
                <w:lang w:val="en-GB" w:eastAsia="zh-CN"/>
              </w:rPr>
              <w:t>3</w:t>
            </w:r>
            <w:r w:rsidR="00F07563" w:rsidRPr="00382F23">
              <w:rPr>
                <w:sz w:val="18"/>
                <w:szCs w:val="18"/>
                <w:lang w:val="en-GB" w:eastAsia="zh-CN"/>
              </w:rPr>
              <w:t>.</w:t>
            </w:r>
            <w:r w:rsidR="00F07563">
              <w:rPr>
                <w:sz w:val="18"/>
                <w:szCs w:val="18"/>
                <w:lang w:val="en-GB" w:eastAsia="zh-CN"/>
              </w:rPr>
              <w:t>1</w:t>
            </w:r>
            <w:r w:rsidR="00F07563" w:rsidRPr="00382F23">
              <w:rPr>
                <w:sz w:val="18"/>
                <w:szCs w:val="18"/>
                <w:lang w:val="en-GB" w:eastAsia="zh-CN"/>
              </w:rPr>
              <w:t>.</w:t>
            </w:r>
            <w:r w:rsidR="00F07563">
              <w:rPr>
                <w:sz w:val="18"/>
                <w:szCs w:val="18"/>
                <w:lang w:val="en-GB" w:eastAsia="zh-CN"/>
              </w:rPr>
              <w:t>1</w:t>
            </w:r>
            <w:r w:rsidR="00F07563" w:rsidRPr="00382F23">
              <w:rPr>
                <w:sz w:val="18"/>
                <w:szCs w:val="18"/>
                <w:lang w:val="en-GB" w:eastAsia="zh-CN"/>
              </w:rPr>
              <w:t>.a</w:t>
            </w:r>
            <w:r w:rsidRPr="00F07563">
              <w:rPr>
                <w:sz w:val="18"/>
                <w:szCs w:val="18"/>
                <w:lang w:val="en-GB" w:eastAsia="zh-CN"/>
              </w:rPr>
              <w:t>):</w:t>
            </w:r>
          </w:p>
          <w:p w14:paraId="552C94A0" w14:textId="4FD6BDF8" w:rsidR="00D83760" w:rsidRPr="00F07563"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07563">
              <w:rPr>
                <w:sz w:val="18"/>
                <w:szCs w:val="18"/>
                <w:lang w:val="en-GB" w:eastAsia="zh-CN"/>
              </w:rPr>
              <w:t xml:space="preserve">a. </w:t>
            </w:r>
            <w:proofErr w:type="gramStart"/>
            <w:r w:rsidRPr="00F07563">
              <w:rPr>
                <w:sz w:val="18"/>
                <w:szCs w:val="18"/>
                <w:lang w:val="en-GB" w:eastAsia="zh-CN"/>
              </w:rPr>
              <w:t>support</w:t>
            </w:r>
            <w:proofErr w:type="gramEnd"/>
            <w:r w:rsidRPr="00F07563">
              <w:rPr>
                <w:sz w:val="18"/>
                <w:szCs w:val="18"/>
                <w:lang w:val="en-GB" w:eastAsia="zh-CN"/>
              </w:rPr>
              <w:t xml:space="preserve"> the development of </w:t>
            </w:r>
            <w:r w:rsidR="00C9375A">
              <w:rPr>
                <w:sz w:val="18"/>
                <w:szCs w:val="18"/>
                <w:lang w:val="en-GB" w:eastAsia="zh-CN"/>
              </w:rPr>
              <w:t xml:space="preserve">gender responsive </w:t>
            </w:r>
            <w:r w:rsidRPr="00F07563">
              <w:rPr>
                <w:sz w:val="18"/>
                <w:szCs w:val="18"/>
                <w:lang w:val="en-GB" w:eastAsia="zh-CN"/>
              </w:rPr>
              <w:t xml:space="preserve">training materials on validation, verification and reporting systems based on learnings from Activity </w:t>
            </w:r>
            <w:r w:rsidR="00F07563" w:rsidRPr="00382F23">
              <w:rPr>
                <w:sz w:val="18"/>
                <w:szCs w:val="18"/>
                <w:lang w:val="en-GB" w:eastAsia="zh-CN"/>
              </w:rPr>
              <w:t>1.</w:t>
            </w:r>
            <w:r w:rsidR="00F07563">
              <w:rPr>
                <w:sz w:val="18"/>
                <w:szCs w:val="18"/>
                <w:lang w:val="en-GB" w:eastAsia="zh-CN"/>
              </w:rPr>
              <w:t>1</w:t>
            </w:r>
            <w:r w:rsidR="00F07563" w:rsidRPr="00382F23">
              <w:rPr>
                <w:sz w:val="18"/>
                <w:szCs w:val="18"/>
                <w:lang w:val="en-GB" w:eastAsia="zh-CN"/>
              </w:rPr>
              <w:t>.</w:t>
            </w:r>
            <w:r w:rsidR="00F07563">
              <w:rPr>
                <w:sz w:val="18"/>
                <w:szCs w:val="18"/>
                <w:lang w:val="en-GB" w:eastAsia="zh-CN"/>
              </w:rPr>
              <w:t>3</w:t>
            </w:r>
            <w:r w:rsidR="00F07563" w:rsidRPr="00382F23">
              <w:rPr>
                <w:sz w:val="18"/>
                <w:szCs w:val="18"/>
                <w:lang w:val="en-GB" w:eastAsia="zh-CN"/>
              </w:rPr>
              <w:t>.2.a</w:t>
            </w:r>
            <w:r w:rsidRPr="00F07563">
              <w:rPr>
                <w:sz w:val="18"/>
                <w:szCs w:val="18"/>
                <w:lang w:val="en-GB" w:eastAsia="zh-CN"/>
              </w:rPr>
              <w:t>.</w:t>
            </w:r>
          </w:p>
          <w:p w14:paraId="2A4E8E60" w14:textId="77777777" w:rsidR="00D83760" w:rsidRPr="00F07563"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07563">
              <w:rPr>
                <w:sz w:val="18"/>
                <w:szCs w:val="18"/>
                <w:lang w:val="en-GB" w:eastAsia="zh-CN"/>
              </w:rPr>
              <w:t xml:space="preserve">b. provide </w:t>
            </w:r>
            <w:proofErr w:type="spellStart"/>
            <w:r w:rsidRPr="00F07563">
              <w:rPr>
                <w:sz w:val="18"/>
                <w:szCs w:val="18"/>
                <w:lang w:val="en-GB" w:eastAsia="zh-CN"/>
              </w:rPr>
              <w:t>ToTs</w:t>
            </w:r>
            <w:proofErr w:type="spellEnd"/>
            <w:r w:rsidRPr="00F07563">
              <w:rPr>
                <w:sz w:val="18"/>
                <w:szCs w:val="18"/>
                <w:lang w:val="en-GB" w:eastAsia="zh-CN"/>
              </w:rPr>
              <w:t xml:space="preserve"> to capacitate of a CSO on further capacity building of financial institutions on validation, verification and reporting.</w:t>
            </w:r>
          </w:p>
        </w:tc>
        <w:tc>
          <w:tcPr>
            <w:tcW w:w="1194" w:type="pct"/>
          </w:tcPr>
          <w:p w14:paraId="22B8C0F5" w14:textId="77777777" w:rsidR="00D83760" w:rsidRPr="00283787" w:rsidRDefault="00D83760"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283787">
              <w:rPr>
                <w:sz w:val="18"/>
                <w:szCs w:val="18"/>
              </w:rPr>
              <w:lastRenderedPageBreak/>
              <w:t>Higher degree in finance, economic or social science studies or another relevant field</w:t>
            </w:r>
          </w:p>
          <w:p w14:paraId="24CF46CE" w14:textId="77777777" w:rsidR="00D83760" w:rsidRPr="00283787" w:rsidRDefault="00D83760" w:rsidP="00163FD5">
            <w:pPr>
              <w:pStyle w:val="ListParagraph"/>
              <w:numPr>
                <w:ilvl w:val="0"/>
                <w:numId w:val="27"/>
              </w:num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283787">
              <w:rPr>
                <w:sz w:val="18"/>
                <w:szCs w:val="18"/>
              </w:rPr>
              <w:t>Multiple years of experience in/with banking sector</w:t>
            </w:r>
          </w:p>
          <w:p w14:paraId="3EDC1178" w14:textId="77777777" w:rsidR="00D83760" w:rsidRPr="00283787" w:rsidRDefault="00D83760" w:rsidP="00163FD5">
            <w:pPr>
              <w:pStyle w:val="ListParagraph"/>
              <w:numPr>
                <w:ilvl w:val="0"/>
                <w:numId w:val="27"/>
              </w:num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283787">
              <w:rPr>
                <w:sz w:val="18"/>
                <w:szCs w:val="18"/>
              </w:rPr>
              <w:t>Professional knowledge of internal control frameworks</w:t>
            </w:r>
          </w:p>
          <w:p w14:paraId="1B97111F" w14:textId="77777777" w:rsidR="00D83760" w:rsidRPr="00283787" w:rsidRDefault="00D83760"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283787">
              <w:rPr>
                <w:sz w:val="18"/>
                <w:szCs w:val="18"/>
              </w:rPr>
              <w:lastRenderedPageBreak/>
              <w:t>Professional knowledge of national financial regulations</w:t>
            </w:r>
          </w:p>
          <w:p w14:paraId="0D7894A7" w14:textId="77777777" w:rsidR="00D83760" w:rsidRPr="00283787" w:rsidRDefault="00D83760"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283787">
              <w:rPr>
                <w:sz w:val="18"/>
                <w:szCs w:val="18"/>
              </w:rPr>
              <w:t>Experience in capacity development</w:t>
            </w:r>
          </w:p>
          <w:p w14:paraId="65EB7B98" w14:textId="77777777" w:rsidR="00D83760" w:rsidRPr="00283787" w:rsidRDefault="00D83760">
            <w:pPr>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rPr>
            </w:pPr>
          </w:p>
        </w:tc>
        <w:tc>
          <w:tcPr>
            <w:tcW w:w="324" w:type="pct"/>
          </w:tcPr>
          <w:p w14:paraId="15F16783" w14:textId="66609BC4" w:rsidR="00D83760" w:rsidRPr="00283787" w:rsidRDefault="00D83760">
            <w:pPr>
              <w:cnfStyle w:val="000000000000" w:firstRow="0" w:lastRow="0" w:firstColumn="0" w:lastColumn="0" w:oddVBand="0" w:evenVBand="0" w:oddHBand="0" w:evenHBand="0" w:firstRowFirstColumn="0" w:firstRowLastColumn="0" w:lastRowFirstColumn="0" w:lastRowLastColumn="0"/>
              <w:rPr>
                <w:sz w:val="18"/>
                <w:szCs w:val="18"/>
              </w:rPr>
            </w:pPr>
            <w:r w:rsidRPr="00283787">
              <w:rPr>
                <w:sz w:val="18"/>
                <w:szCs w:val="18"/>
              </w:rPr>
              <w:lastRenderedPageBreak/>
              <w:t>B</w:t>
            </w:r>
          </w:p>
        </w:tc>
      </w:tr>
      <w:tr w:rsidR="005F3010" w:rsidRPr="00450B52" w14:paraId="1B6F3DA0"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5FFC1DD5" w14:textId="1AC8F27A" w:rsidR="005F3010" w:rsidRPr="00283787" w:rsidRDefault="005F3010">
            <w:pPr>
              <w:rPr>
                <w:color w:val="808080" w:themeColor="background1" w:themeShade="80"/>
                <w:sz w:val="18"/>
                <w:szCs w:val="18"/>
              </w:rPr>
            </w:pPr>
            <w:r w:rsidRPr="00283787">
              <w:rPr>
                <w:color w:val="808080" w:themeColor="background1" w:themeShade="80"/>
                <w:sz w:val="18"/>
                <w:szCs w:val="18"/>
              </w:rPr>
              <w:t>DP</w:t>
            </w:r>
          </w:p>
        </w:tc>
        <w:tc>
          <w:tcPr>
            <w:tcW w:w="613" w:type="pct"/>
          </w:tcPr>
          <w:p w14:paraId="661170D5" w14:textId="572FEB24" w:rsidR="005F3010" w:rsidRPr="00283787" w:rsidRDefault="005F301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83787">
              <w:rPr>
                <w:sz w:val="18"/>
                <w:szCs w:val="18"/>
                <w:lang w:val="en-GB" w:eastAsia="zh-CN"/>
              </w:rPr>
              <w:t>Professional services - Firm</w:t>
            </w:r>
          </w:p>
        </w:tc>
        <w:tc>
          <w:tcPr>
            <w:tcW w:w="842" w:type="pct"/>
          </w:tcPr>
          <w:p w14:paraId="46229044" w14:textId="02B1E26B" w:rsidR="005F3010" w:rsidRPr="00283787" w:rsidRDefault="00205248">
            <w:pPr>
              <w:spacing w:after="120"/>
              <w:cnfStyle w:val="000000100000" w:firstRow="0" w:lastRow="0" w:firstColumn="0" w:lastColumn="0" w:oddVBand="0" w:evenVBand="0" w:oddHBand="1" w:evenHBand="0" w:firstRowFirstColumn="0" w:firstRowLastColumn="0" w:lastRowFirstColumn="0" w:lastRowLastColumn="0"/>
              <w:rPr>
                <w:sz w:val="18"/>
                <w:szCs w:val="18"/>
              </w:rPr>
            </w:pPr>
            <w:r w:rsidRPr="00F07563">
              <w:rPr>
                <w:sz w:val="18"/>
                <w:szCs w:val="18"/>
              </w:rPr>
              <w:t>Output 1.</w:t>
            </w:r>
            <w:r w:rsidR="0009334B">
              <w:rPr>
                <w:sz w:val="18"/>
                <w:szCs w:val="18"/>
              </w:rPr>
              <w:t>1</w:t>
            </w:r>
            <w:r w:rsidRPr="00F07563">
              <w:rPr>
                <w:sz w:val="18"/>
                <w:szCs w:val="18"/>
              </w:rPr>
              <w:t>.</w:t>
            </w:r>
            <w:r w:rsidR="0009334B">
              <w:rPr>
                <w:sz w:val="18"/>
                <w:szCs w:val="18"/>
              </w:rPr>
              <w:t>3</w:t>
            </w:r>
            <w:r w:rsidRPr="00F07563">
              <w:rPr>
                <w:sz w:val="18"/>
                <w:szCs w:val="18"/>
              </w:rPr>
              <w:t>. Relevant stakeholders engaged and trained to support planning, programming and implementation of GCF funded activities.</w:t>
            </w:r>
          </w:p>
        </w:tc>
        <w:tc>
          <w:tcPr>
            <w:tcW w:w="1642" w:type="pct"/>
          </w:tcPr>
          <w:p w14:paraId="55B780B4" w14:textId="48B29E2E" w:rsidR="005F3010" w:rsidRPr="00283787" w:rsidRDefault="0030222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83787">
              <w:rPr>
                <w:sz w:val="18"/>
                <w:szCs w:val="18"/>
                <w:lang w:val="en-GB" w:eastAsia="zh-CN"/>
              </w:rPr>
              <w:t>Institutionalize a validation and verification system of green projects at the CFC in line with national climate goals (Activity 1.</w:t>
            </w:r>
            <w:r w:rsidR="00205248">
              <w:rPr>
                <w:sz w:val="18"/>
                <w:szCs w:val="18"/>
                <w:lang w:val="en-GB" w:eastAsia="zh-CN"/>
              </w:rPr>
              <w:t>1</w:t>
            </w:r>
            <w:r w:rsidRPr="00283787">
              <w:rPr>
                <w:sz w:val="18"/>
                <w:szCs w:val="18"/>
                <w:lang w:val="en-GB" w:eastAsia="zh-CN"/>
              </w:rPr>
              <w:t>.</w:t>
            </w:r>
            <w:r w:rsidR="00205248">
              <w:rPr>
                <w:sz w:val="18"/>
                <w:szCs w:val="18"/>
                <w:lang w:val="en-GB" w:eastAsia="zh-CN"/>
              </w:rPr>
              <w:t>3</w:t>
            </w:r>
            <w:r w:rsidRPr="00283787">
              <w:rPr>
                <w:sz w:val="18"/>
                <w:szCs w:val="18"/>
                <w:lang w:val="en-GB" w:eastAsia="zh-CN"/>
              </w:rPr>
              <w:t>.</w:t>
            </w:r>
            <w:r w:rsidR="00205248">
              <w:rPr>
                <w:sz w:val="18"/>
                <w:szCs w:val="18"/>
                <w:lang w:val="en-GB" w:eastAsia="zh-CN"/>
              </w:rPr>
              <w:t>2</w:t>
            </w:r>
            <w:r w:rsidRPr="00283787">
              <w:rPr>
                <w:sz w:val="18"/>
                <w:szCs w:val="18"/>
                <w:lang w:val="en-GB" w:eastAsia="zh-CN"/>
              </w:rPr>
              <w:t>.</w:t>
            </w:r>
            <w:r w:rsidR="00205248">
              <w:rPr>
                <w:sz w:val="18"/>
                <w:szCs w:val="18"/>
                <w:lang w:val="en-GB" w:eastAsia="zh-CN"/>
              </w:rPr>
              <w:t>b</w:t>
            </w:r>
            <w:r w:rsidRPr="00283787">
              <w:rPr>
                <w:sz w:val="18"/>
                <w:szCs w:val="18"/>
                <w:lang w:val="en-GB" w:eastAsia="zh-CN"/>
              </w:rPr>
              <w:t>.) – Scope of Work:</w:t>
            </w:r>
          </w:p>
          <w:p w14:paraId="0F9F17A1" w14:textId="580751B7" w:rsidR="00BB50C2" w:rsidRPr="00283787" w:rsidRDefault="00BB50C2" w:rsidP="00BB50C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83787">
              <w:rPr>
                <w:sz w:val="18"/>
                <w:szCs w:val="18"/>
                <w:lang w:val="en-GB" w:eastAsia="zh-CN"/>
              </w:rPr>
              <w:t>a.</w:t>
            </w:r>
            <w:r w:rsidRPr="00283787">
              <w:t xml:space="preserve"> </w:t>
            </w:r>
            <w:r w:rsidR="00095F90" w:rsidRPr="00283787">
              <w:rPr>
                <w:sz w:val="18"/>
                <w:szCs w:val="18"/>
                <w:lang w:eastAsia="zh-CN"/>
              </w:rPr>
              <w:t>r</w:t>
            </w:r>
            <w:proofErr w:type="spellStart"/>
            <w:r w:rsidRPr="00283787">
              <w:rPr>
                <w:sz w:val="18"/>
                <w:szCs w:val="18"/>
                <w:lang w:val="en-GB" w:eastAsia="zh-CN"/>
              </w:rPr>
              <w:t>eview</w:t>
            </w:r>
            <w:proofErr w:type="spellEnd"/>
            <w:r w:rsidRPr="00283787">
              <w:rPr>
                <w:sz w:val="18"/>
                <w:szCs w:val="18"/>
                <w:lang w:val="en-GB" w:eastAsia="zh-CN"/>
              </w:rPr>
              <w:t xml:space="preserve"> and formulate qualification requirements for the national validators and verifiers in line with global practice. </w:t>
            </w:r>
          </w:p>
          <w:p w14:paraId="655A3721" w14:textId="07F2AC0A" w:rsidR="00BB50C2" w:rsidRPr="00283787" w:rsidRDefault="00BB50C2" w:rsidP="00BB50C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83787">
              <w:rPr>
                <w:sz w:val="18"/>
                <w:szCs w:val="18"/>
                <w:lang w:val="en-GB" w:eastAsia="zh-CN"/>
              </w:rPr>
              <w:t>b. map existing national validators and verifiers, incl. reference check with clients.</w:t>
            </w:r>
          </w:p>
          <w:p w14:paraId="5101DD4E" w14:textId="3700523A" w:rsidR="00BB50C2" w:rsidRPr="00283787" w:rsidRDefault="00BB50C2" w:rsidP="00BB50C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83787">
              <w:rPr>
                <w:sz w:val="18"/>
                <w:szCs w:val="18"/>
                <w:lang w:val="en-GB" w:eastAsia="zh-CN"/>
              </w:rPr>
              <w:t>c. develop a list of vetted national validators and verifiers.</w:t>
            </w:r>
          </w:p>
          <w:p w14:paraId="449A2168" w14:textId="0B21F5DC" w:rsidR="00BB50C2" w:rsidRPr="00283787" w:rsidRDefault="00BB50C2" w:rsidP="00BB50C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83787">
              <w:rPr>
                <w:sz w:val="18"/>
                <w:szCs w:val="18"/>
                <w:lang w:val="en-GB" w:eastAsia="zh-CN"/>
              </w:rPr>
              <w:t>d. develop a regulatory act to employ or train in-house vetted validators and verifiers, and a regulatory act/order approving the developed requirements.</w:t>
            </w:r>
          </w:p>
          <w:p w14:paraId="37056854" w14:textId="1F40C135" w:rsidR="00BB50C2" w:rsidRPr="00283787" w:rsidRDefault="00BB50C2" w:rsidP="00BB50C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83787">
              <w:rPr>
                <w:sz w:val="18"/>
                <w:szCs w:val="18"/>
                <w:lang w:val="en-GB" w:eastAsia="zh-CN"/>
              </w:rPr>
              <w:t>e. ensure validation</w:t>
            </w:r>
            <w:r w:rsidR="00A425CC">
              <w:rPr>
                <w:sz w:val="18"/>
                <w:szCs w:val="18"/>
                <w:lang w:val="en-GB" w:eastAsia="zh-CN"/>
              </w:rPr>
              <w:t xml:space="preserve"> through</w:t>
            </w:r>
            <w:r w:rsidRPr="00283787">
              <w:rPr>
                <w:sz w:val="18"/>
                <w:szCs w:val="18"/>
                <w:lang w:val="en-GB" w:eastAsia="zh-CN"/>
              </w:rPr>
              <w:t xml:space="preserve"> </w:t>
            </w:r>
            <w:r w:rsidR="003C7511">
              <w:rPr>
                <w:sz w:val="18"/>
                <w:szCs w:val="18"/>
                <w:lang w:val="en-GB" w:eastAsia="zh-CN"/>
              </w:rPr>
              <w:t xml:space="preserve">gender </w:t>
            </w:r>
            <w:r w:rsidR="00A425CC">
              <w:rPr>
                <w:sz w:val="18"/>
                <w:szCs w:val="18"/>
                <w:lang w:val="en-GB" w:eastAsia="zh-CN"/>
              </w:rPr>
              <w:t>inclusive</w:t>
            </w:r>
            <w:r w:rsidR="003C7511">
              <w:rPr>
                <w:sz w:val="18"/>
                <w:szCs w:val="18"/>
                <w:lang w:val="en-GB" w:eastAsia="zh-CN"/>
              </w:rPr>
              <w:t xml:space="preserve"> </w:t>
            </w:r>
            <w:r w:rsidRPr="00283787">
              <w:rPr>
                <w:sz w:val="18"/>
                <w:szCs w:val="18"/>
                <w:lang w:val="en-GB" w:eastAsia="zh-CN"/>
              </w:rPr>
              <w:t>workshop(s) and development of training materials.</w:t>
            </w:r>
          </w:p>
        </w:tc>
        <w:tc>
          <w:tcPr>
            <w:tcW w:w="1194" w:type="pct"/>
          </w:tcPr>
          <w:p w14:paraId="3D13C76B" w14:textId="2AEEEFED" w:rsidR="005F3010" w:rsidRPr="00283787" w:rsidRDefault="00B20145" w:rsidP="005F3010">
            <w:pPr>
              <w:cnfStyle w:val="000000100000" w:firstRow="0" w:lastRow="0" w:firstColumn="0" w:lastColumn="0" w:oddVBand="0" w:evenVBand="0" w:oddHBand="1" w:evenHBand="0" w:firstRowFirstColumn="0" w:firstRowLastColumn="0" w:lastRowFirstColumn="0" w:lastRowLastColumn="0"/>
              <w:rPr>
                <w:sz w:val="18"/>
                <w:szCs w:val="18"/>
              </w:rPr>
            </w:pPr>
            <w:r w:rsidRPr="00283787">
              <w:rPr>
                <w:sz w:val="18"/>
                <w:szCs w:val="18"/>
              </w:rPr>
              <w:t>Key qualifications of a firm</w:t>
            </w:r>
            <w:r w:rsidR="00883858" w:rsidRPr="00283787">
              <w:rPr>
                <w:sz w:val="18"/>
                <w:szCs w:val="18"/>
              </w:rPr>
              <w:t>/key personnel</w:t>
            </w:r>
            <w:r w:rsidRPr="00283787">
              <w:rPr>
                <w:sz w:val="18"/>
                <w:szCs w:val="18"/>
              </w:rPr>
              <w:t>:</w:t>
            </w:r>
          </w:p>
          <w:p w14:paraId="1C80E9E3" w14:textId="3BA7A8EA" w:rsidR="00B20145" w:rsidRPr="00283787" w:rsidRDefault="00B20145"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283787">
              <w:rPr>
                <w:sz w:val="18"/>
                <w:szCs w:val="18"/>
              </w:rPr>
              <w:t xml:space="preserve">Knowledge of the regional/national </w:t>
            </w:r>
            <w:r w:rsidR="004D2924" w:rsidRPr="00283787">
              <w:rPr>
                <w:sz w:val="18"/>
                <w:szCs w:val="18"/>
              </w:rPr>
              <w:t xml:space="preserve">financial institutional </w:t>
            </w:r>
            <w:r w:rsidRPr="00283787">
              <w:rPr>
                <w:sz w:val="18"/>
                <w:szCs w:val="18"/>
              </w:rPr>
              <w:t>context</w:t>
            </w:r>
            <w:r w:rsidR="004D2924" w:rsidRPr="00283787">
              <w:rPr>
                <w:sz w:val="18"/>
                <w:szCs w:val="18"/>
              </w:rPr>
              <w:t>s</w:t>
            </w:r>
          </w:p>
          <w:p w14:paraId="51B44FC2" w14:textId="77777777" w:rsidR="004D2924" w:rsidRPr="00283787" w:rsidRDefault="004D292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283787">
              <w:rPr>
                <w:sz w:val="18"/>
                <w:szCs w:val="18"/>
              </w:rPr>
              <w:t>Experience in green taxonomy operationalization</w:t>
            </w:r>
            <w:r w:rsidR="007902A7" w:rsidRPr="00283787">
              <w:rPr>
                <w:sz w:val="18"/>
                <w:szCs w:val="18"/>
              </w:rPr>
              <w:t xml:space="preserve"> (national and/or organizational level)</w:t>
            </w:r>
          </w:p>
          <w:p w14:paraId="16B2FF32" w14:textId="77777777" w:rsidR="00CF444E" w:rsidRPr="00283787" w:rsidRDefault="00CF444E"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283787">
              <w:rPr>
                <w:sz w:val="18"/>
                <w:szCs w:val="18"/>
              </w:rPr>
              <w:t>Sectoral expertise as required by the developed green taxonomy of the Kyrgyz Republic</w:t>
            </w:r>
          </w:p>
          <w:p w14:paraId="6580405F" w14:textId="1038262E" w:rsidR="00CF444E" w:rsidRPr="00283787" w:rsidRDefault="00CF444E"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283787">
              <w:rPr>
                <w:sz w:val="18"/>
                <w:szCs w:val="18"/>
              </w:rPr>
              <w:t>Professional experience in policy formulation</w:t>
            </w:r>
          </w:p>
        </w:tc>
        <w:tc>
          <w:tcPr>
            <w:tcW w:w="324" w:type="pct"/>
          </w:tcPr>
          <w:p w14:paraId="04325EE6" w14:textId="643D8E2E" w:rsidR="005F3010" w:rsidRPr="00283787" w:rsidRDefault="008D0E24">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E</w:t>
            </w:r>
          </w:p>
        </w:tc>
      </w:tr>
      <w:tr w:rsidR="0055488C" w:rsidRPr="00450B52" w14:paraId="647DA41C" w14:textId="77777777" w:rsidTr="00F80EF7">
        <w:tc>
          <w:tcPr>
            <w:cnfStyle w:val="001000000000" w:firstRow="0" w:lastRow="0" w:firstColumn="1" w:lastColumn="0" w:oddVBand="0" w:evenVBand="0" w:oddHBand="0" w:evenHBand="0" w:firstRowFirstColumn="0" w:firstRowLastColumn="0" w:lastRowFirstColumn="0" w:lastRowLastColumn="0"/>
            <w:tcW w:w="385" w:type="pct"/>
          </w:tcPr>
          <w:p w14:paraId="49276E1F" w14:textId="3F4C40B8" w:rsidR="0055488C" w:rsidRPr="00CA1FF2" w:rsidRDefault="0055488C">
            <w:pPr>
              <w:rPr>
                <w:b w:val="0"/>
                <w:bCs w:val="0"/>
                <w:color w:val="808080" w:themeColor="background1" w:themeShade="80"/>
                <w:sz w:val="18"/>
                <w:szCs w:val="18"/>
              </w:rPr>
            </w:pPr>
            <w:r w:rsidRPr="0055488C">
              <w:rPr>
                <w:color w:val="808080" w:themeColor="background1" w:themeShade="80"/>
                <w:sz w:val="18"/>
                <w:szCs w:val="18"/>
              </w:rPr>
              <w:t>DP</w:t>
            </w:r>
          </w:p>
        </w:tc>
        <w:tc>
          <w:tcPr>
            <w:tcW w:w="613" w:type="pct"/>
          </w:tcPr>
          <w:p w14:paraId="08B8837E" w14:textId="5834A35C" w:rsidR="0055488C" w:rsidRPr="00283787" w:rsidRDefault="00E054D8">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Pr>
                <w:sz w:val="18"/>
                <w:szCs w:val="18"/>
                <w:lang w:val="en-GB" w:eastAsia="zh-CN"/>
              </w:rPr>
              <w:t>Professional Services - Firm</w:t>
            </w:r>
          </w:p>
        </w:tc>
        <w:tc>
          <w:tcPr>
            <w:tcW w:w="842" w:type="pct"/>
          </w:tcPr>
          <w:p w14:paraId="0F2B7B4A" w14:textId="77777777" w:rsidR="0055488C" w:rsidRDefault="00820B13">
            <w:pPr>
              <w:spacing w:after="12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Output 2.2.5. </w:t>
            </w:r>
            <w:r w:rsidRPr="00820B13">
              <w:rPr>
                <w:sz w:val="18"/>
                <w:szCs w:val="18"/>
              </w:rPr>
              <w:t xml:space="preserve">Studies, action plans, modelling efforts and other research </w:t>
            </w:r>
            <w:r w:rsidRPr="00820B13">
              <w:rPr>
                <w:sz w:val="18"/>
                <w:szCs w:val="18"/>
              </w:rPr>
              <w:lastRenderedPageBreak/>
              <w:t>efforts conducted/developed.</w:t>
            </w:r>
          </w:p>
          <w:p w14:paraId="29991F4A" w14:textId="3CC3FED4" w:rsidR="00820B13" w:rsidRPr="00F07563" w:rsidRDefault="003A5ECE">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3A5ECE">
              <w:rPr>
                <w:sz w:val="18"/>
                <w:szCs w:val="18"/>
              </w:rPr>
              <w:t xml:space="preserve">Output 5.1.1. NDAs, DAEs, DPs have developed knowledge products containing information on LECRD, methodologies, lessons </w:t>
            </w:r>
            <w:proofErr w:type="gramStart"/>
            <w:r w:rsidRPr="003A5ECE">
              <w:rPr>
                <w:sz w:val="18"/>
                <w:szCs w:val="18"/>
              </w:rPr>
              <w:t>learned</w:t>
            </w:r>
            <w:proofErr w:type="gramEnd"/>
            <w:r w:rsidRPr="003A5ECE">
              <w:rPr>
                <w:sz w:val="18"/>
                <w:szCs w:val="18"/>
              </w:rPr>
              <w:t xml:space="preserve"> or best practices extracted from within the country and from other countries (South-South cooperation).</w:t>
            </w:r>
          </w:p>
        </w:tc>
        <w:tc>
          <w:tcPr>
            <w:tcW w:w="1642" w:type="pct"/>
          </w:tcPr>
          <w:p w14:paraId="4AD608CF" w14:textId="77777777" w:rsidR="0055488C" w:rsidRDefault="00B85FFA">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Pr>
                <w:sz w:val="18"/>
                <w:szCs w:val="18"/>
                <w:lang w:val="en-GB" w:eastAsia="zh-CN"/>
              </w:rPr>
              <w:lastRenderedPageBreak/>
              <w:t>S</w:t>
            </w:r>
            <w:r w:rsidRPr="00B85FFA">
              <w:rPr>
                <w:sz w:val="18"/>
                <w:szCs w:val="18"/>
                <w:lang w:val="en-GB" w:eastAsia="zh-CN"/>
              </w:rPr>
              <w:t>upport to the National Bank on developing guidelines and standards for green financing (Activity 2.2.5.1.a)</w:t>
            </w:r>
            <w:r w:rsidR="00BC130A">
              <w:rPr>
                <w:sz w:val="18"/>
                <w:szCs w:val="18"/>
                <w:lang w:val="en-GB" w:eastAsia="zh-CN"/>
              </w:rPr>
              <w:t>:</w:t>
            </w:r>
          </w:p>
          <w:p w14:paraId="370EE89F" w14:textId="3EAE24CC" w:rsidR="009527A6" w:rsidRPr="009527A6" w:rsidRDefault="009527A6" w:rsidP="009527A6">
            <w:pPr>
              <w:spacing w:after="120"/>
              <w:cnfStyle w:val="000000000000" w:firstRow="0" w:lastRow="0" w:firstColumn="0" w:lastColumn="0" w:oddVBand="0" w:evenVBand="0" w:oddHBand="0" w:evenHBand="0" w:firstRowFirstColumn="0" w:firstRowLastColumn="0" w:lastRowFirstColumn="0" w:lastRowLastColumn="0"/>
              <w:rPr>
                <w:sz w:val="18"/>
                <w:szCs w:val="18"/>
                <w:lang w:eastAsia="zh-CN"/>
              </w:rPr>
            </w:pPr>
            <w:r>
              <w:rPr>
                <w:sz w:val="18"/>
                <w:szCs w:val="18"/>
                <w:lang w:eastAsia="zh-CN"/>
              </w:rPr>
              <w:lastRenderedPageBreak/>
              <w:t xml:space="preserve">a. </w:t>
            </w:r>
            <w:r w:rsidR="00F90CE2">
              <w:rPr>
                <w:sz w:val="18"/>
                <w:szCs w:val="18"/>
                <w:lang w:eastAsia="zh-CN"/>
              </w:rPr>
              <w:t>g</w:t>
            </w:r>
            <w:r w:rsidRPr="009527A6">
              <w:rPr>
                <w:sz w:val="18"/>
                <w:szCs w:val="18"/>
                <w:lang w:eastAsia="zh-CN"/>
              </w:rPr>
              <w:t>ap analysis national financing regulatory framework with international standards and best practices on green finance and non-financial reporting.</w:t>
            </w:r>
          </w:p>
          <w:p w14:paraId="0CA08792" w14:textId="4A3CA32A" w:rsidR="00BC130A" w:rsidRPr="00CA1FF2" w:rsidRDefault="00F90CE2" w:rsidP="009527A6">
            <w:pPr>
              <w:spacing w:after="120"/>
              <w:cnfStyle w:val="000000000000" w:firstRow="0" w:lastRow="0" w:firstColumn="0" w:lastColumn="0" w:oddVBand="0" w:evenVBand="0" w:oddHBand="0" w:evenHBand="0" w:firstRowFirstColumn="0" w:firstRowLastColumn="0" w:lastRowFirstColumn="0" w:lastRowLastColumn="0"/>
              <w:rPr>
                <w:sz w:val="18"/>
                <w:szCs w:val="18"/>
                <w:lang w:eastAsia="zh-CN"/>
              </w:rPr>
            </w:pPr>
            <w:r>
              <w:rPr>
                <w:sz w:val="18"/>
                <w:szCs w:val="18"/>
                <w:lang w:eastAsia="zh-CN"/>
              </w:rPr>
              <w:t>b. d</w:t>
            </w:r>
            <w:r w:rsidR="009527A6" w:rsidRPr="009527A6">
              <w:rPr>
                <w:sz w:val="18"/>
                <w:szCs w:val="18"/>
                <w:lang w:eastAsia="zh-CN"/>
              </w:rPr>
              <w:t>evelop climate risk management tools and approaches</w:t>
            </w:r>
            <w:r>
              <w:rPr>
                <w:sz w:val="18"/>
                <w:szCs w:val="18"/>
                <w:lang w:eastAsia="zh-CN"/>
              </w:rPr>
              <w:t>.</w:t>
            </w:r>
          </w:p>
          <w:p w14:paraId="47F07968" w14:textId="10CE4CB9" w:rsidR="00107BA1" w:rsidRDefault="00107BA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Pr>
                <w:sz w:val="18"/>
                <w:szCs w:val="18"/>
                <w:lang w:val="en-GB" w:eastAsia="zh-CN"/>
              </w:rPr>
              <w:t>A</w:t>
            </w:r>
            <w:r w:rsidRPr="00641B1F">
              <w:rPr>
                <w:sz w:val="18"/>
                <w:szCs w:val="18"/>
                <w:lang w:val="en-GB" w:eastAsia="zh-CN"/>
              </w:rPr>
              <w:t xml:space="preserve">ssisting financial institutions in accessing green finance </w:t>
            </w:r>
            <w:r>
              <w:rPr>
                <w:sz w:val="18"/>
                <w:szCs w:val="18"/>
                <w:lang w:val="en-GB" w:eastAsia="zh-CN"/>
              </w:rPr>
              <w:t>(</w:t>
            </w:r>
            <w:r w:rsidR="00BC130A" w:rsidRPr="00BC130A">
              <w:rPr>
                <w:sz w:val="18"/>
                <w:szCs w:val="18"/>
                <w:lang w:val="en-GB" w:eastAsia="zh-CN"/>
              </w:rPr>
              <w:t>Activities 5.1.1.2.b</w:t>
            </w:r>
            <w:r>
              <w:rPr>
                <w:sz w:val="18"/>
                <w:szCs w:val="18"/>
                <w:lang w:val="en-GB" w:eastAsia="zh-CN"/>
              </w:rPr>
              <w:t>):</w:t>
            </w:r>
          </w:p>
          <w:p w14:paraId="54E91C46" w14:textId="6102242F" w:rsidR="00F97B39" w:rsidRPr="00F97B39" w:rsidRDefault="003853DF" w:rsidP="00F97B39">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Pr>
                <w:sz w:val="18"/>
                <w:szCs w:val="18"/>
                <w:lang w:val="en-GB" w:eastAsia="zh-CN"/>
              </w:rPr>
              <w:t xml:space="preserve">a. </w:t>
            </w:r>
            <w:proofErr w:type="gramStart"/>
            <w:r w:rsidR="00F97B39">
              <w:rPr>
                <w:sz w:val="18"/>
                <w:szCs w:val="18"/>
                <w:lang w:val="en-GB" w:eastAsia="zh-CN"/>
              </w:rPr>
              <w:t>d</w:t>
            </w:r>
            <w:r w:rsidR="00F97B39" w:rsidRPr="00F97B39">
              <w:rPr>
                <w:sz w:val="18"/>
                <w:szCs w:val="18"/>
                <w:lang w:val="en-GB" w:eastAsia="zh-CN"/>
              </w:rPr>
              <w:t>evelop</w:t>
            </w:r>
            <w:proofErr w:type="gramEnd"/>
            <w:r w:rsidR="00F97B39" w:rsidRPr="00F97B39">
              <w:rPr>
                <w:sz w:val="18"/>
                <w:szCs w:val="18"/>
                <w:lang w:val="en-GB" w:eastAsia="zh-CN"/>
              </w:rPr>
              <w:t xml:space="preserve"> of a uniform standard for the internal documents of the financial institution, hierarchy of documents and procedures for their approval, storage and access, as well as disclosure and publication.</w:t>
            </w:r>
          </w:p>
          <w:p w14:paraId="0766B585" w14:textId="46F251EF" w:rsidR="00107BA1" w:rsidRPr="00CA1FF2" w:rsidRDefault="00F97B39" w:rsidP="00F97B39">
            <w:pPr>
              <w:spacing w:after="120"/>
              <w:cnfStyle w:val="000000000000" w:firstRow="0" w:lastRow="0" w:firstColumn="0" w:lastColumn="0" w:oddVBand="0" w:evenVBand="0" w:oddHBand="0" w:evenHBand="0" w:firstRowFirstColumn="0" w:firstRowLastColumn="0" w:lastRowFirstColumn="0" w:lastRowLastColumn="0"/>
              <w:rPr>
                <w:sz w:val="18"/>
                <w:szCs w:val="18"/>
                <w:lang w:eastAsia="zh-CN"/>
              </w:rPr>
            </w:pPr>
            <w:r w:rsidRPr="00F97B39">
              <w:rPr>
                <w:sz w:val="18"/>
                <w:szCs w:val="18"/>
                <w:lang w:val="en-GB" w:eastAsia="zh-CN"/>
              </w:rPr>
              <w:t>b.</w:t>
            </w:r>
            <w:r>
              <w:rPr>
                <w:sz w:val="18"/>
                <w:szCs w:val="18"/>
                <w:lang w:val="en-GB" w:eastAsia="zh-CN"/>
              </w:rPr>
              <w:t xml:space="preserve"> </w:t>
            </w:r>
            <w:proofErr w:type="gramStart"/>
            <w:r>
              <w:rPr>
                <w:sz w:val="18"/>
                <w:szCs w:val="18"/>
                <w:lang w:val="en-GB" w:eastAsia="zh-CN"/>
              </w:rPr>
              <w:t>d</w:t>
            </w:r>
            <w:r w:rsidRPr="00F97B39">
              <w:rPr>
                <w:sz w:val="18"/>
                <w:szCs w:val="18"/>
                <w:lang w:val="en-GB" w:eastAsia="zh-CN"/>
              </w:rPr>
              <w:t>evelop</w:t>
            </w:r>
            <w:proofErr w:type="gramEnd"/>
            <w:r w:rsidRPr="00F97B39">
              <w:rPr>
                <w:sz w:val="18"/>
                <w:szCs w:val="18"/>
                <w:lang w:val="en-GB" w:eastAsia="zh-CN"/>
              </w:rPr>
              <w:t xml:space="preserve"> template of internal documents for the financial institutions to do green finance, compliant with national banking regulations.</w:t>
            </w:r>
          </w:p>
          <w:p w14:paraId="0E8340A4" w14:textId="77777777" w:rsidR="00BC130A" w:rsidRDefault="00107BA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Pr>
                <w:sz w:val="18"/>
                <w:szCs w:val="18"/>
                <w:lang w:val="en-GB" w:eastAsia="zh-CN"/>
              </w:rPr>
              <w:t>E</w:t>
            </w:r>
            <w:r w:rsidRPr="00641B1F">
              <w:rPr>
                <w:sz w:val="18"/>
                <w:szCs w:val="18"/>
                <w:lang w:val="en-GB" w:eastAsia="zh-CN"/>
              </w:rPr>
              <w:t xml:space="preserve">nhancing required internal regulatory </w:t>
            </w:r>
            <w:proofErr w:type="gramStart"/>
            <w:r w:rsidRPr="00641B1F">
              <w:rPr>
                <w:sz w:val="18"/>
                <w:szCs w:val="18"/>
                <w:lang w:val="en-GB" w:eastAsia="zh-CN"/>
              </w:rPr>
              <w:t>frameworks</w:t>
            </w:r>
            <w:r w:rsidR="00641B1F">
              <w:t xml:space="preserve"> </w:t>
            </w:r>
            <w:r w:rsidRPr="00BC130A">
              <w:rPr>
                <w:sz w:val="18"/>
                <w:szCs w:val="18"/>
                <w:lang w:val="en-GB" w:eastAsia="zh-CN"/>
              </w:rPr>
              <w:t xml:space="preserve"> </w:t>
            </w:r>
            <w:r>
              <w:rPr>
                <w:sz w:val="18"/>
                <w:szCs w:val="18"/>
                <w:lang w:val="en-GB" w:eastAsia="zh-CN"/>
              </w:rPr>
              <w:t>(</w:t>
            </w:r>
            <w:proofErr w:type="gramEnd"/>
            <w:r w:rsidRPr="00BC130A">
              <w:rPr>
                <w:sz w:val="18"/>
                <w:szCs w:val="18"/>
                <w:lang w:val="en-GB" w:eastAsia="zh-CN"/>
              </w:rPr>
              <w:t>5.1.1.2.c)</w:t>
            </w:r>
            <w:r>
              <w:rPr>
                <w:sz w:val="18"/>
                <w:szCs w:val="18"/>
                <w:lang w:val="en-GB" w:eastAsia="zh-CN"/>
              </w:rPr>
              <w:t>:</w:t>
            </w:r>
          </w:p>
          <w:p w14:paraId="0E07D47A" w14:textId="784F0DCE" w:rsidR="003C7511" w:rsidRPr="003C7511" w:rsidRDefault="003C7511" w:rsidP="003C7511">
            <w:pPr>
              <w:spacing w:after="120"/>
              <w:cnfStyle w:val="000000000000" w:firstRow="0" w:lastRow="0" w:firstColumn="0" w:lastColumn="0" w:oddVBand="0" w:evenVBand="0" w:oddHBand="0" w:evenHBand="0" w:firstRowFirstColumn="0" w:firstRowLastColumn="0" w:lastRowFirstColumn="0" w:lastRowLastColumn="0"/>
              <w:rPr>
                <w:sz w:val="18"/>
                <w:szCs w:val="18"/>
                <w:lang w:eastAsia="zh-CN"/>
              </w:rPr>
            </w:pPr>
            <w:r>
              <w:rPr>
                <w:sz w:val="18"/>
                <w:szCs w:val="18"/>
                <w:lang w:eastAsia="zh-CN"/>
              </w:rPr>
              <w:t xml:space="preserve">a. </w:t>
            </w:r>
            <w:proofErr w:type="gramStart"/>
            <w:r>
              <w:rPr>
                <w:sz w:val="18"/>
                <w:szCs w:val="18"/>
                <w:lang w:eastAsia="zh-CN"/>
              </w:rPr>
              <w:t>a</w:t>
            </w:r>
            <w:r w:rsidRPr="003C7511">
              <w:rPr>
                <w:sz w:val="18"/>
                <w:szCs w:val="18"/>
                <w:lang w:eastAsia="zh-CN"/>
              </w:rPr>
              <w:t>nalyze</w:t>
            </w:r>
            <w:proofErr w:type="gramEnd"/>
            <w:r w:rsidRPr="003C7511">
              <w:rPr>
                <w:sz w:val="18"/>
                <w:szCs w:val="18"/>
                <w:lang w:eastAsia="zh-CN"/>
              </w:rPr>
              <w:t xml:space="preserve"> internal framework of the targeted </w:t>
            </w:r>
            <w:r w:rsidR="00A425CC">
              <w:rPr>
                <w:sz w:val="18"/>
                <w:szCs w:val="18"/>
                <w:lang w:eastAsia="zh-CN"/>
              </w:rPr>
              <w:t>financial institutions</w:t>
            </w:r>
            <w:r w:rsidR="004F66F1">
              <w:rPr>
                <w:sz w:val="18"/>
                <w:szCs w:val="18"/>
                <w:lang w:eastAsia="zh-CN"/>
              </w:rPr>
              <w:t>.</w:t>
            </w:r>
          </w:p>
          <w:p w14:paraId="5D6EFAC6" w14:textId="42F39EAC" w:rsidR="003C7511" w:rsidRPr="003C7511" w:rsidRDefault="003C7511" w:rsidP="003C7511">
            <w:pPr>
              <w:spacing w:after="120"/>
              <w:cnfStyle w:val="000000000000" w:firstRow="0" w:lastRow="0" w:firstColumn="0" w:lastColumn="0" w:oddVBand="0" w:evenVBand="0" w:oddHBand="0" w:evenHBand="0" w:firstRowFirstColumn="0" w:firstRowLastColumn="0" w:lastRowFirstColumn="0" w:lastRowLastColumn="0"/>
              <w:rPr>
                <w:sz w:val="18"/>
                <w:szCs w:val="18"/>
                <w:lang w:eastAsia="zh-CN"/>
              </w:rPr>
            </w:pPr>
            <w:r>
              <w:rPr>
                <w:sz w:val="18"/>
                <w:szCs w:val="18"/>
                <w:lang w:eastAsia="zh-CN"/>
              </w:rPr>
              <w:t xml:space="preserve">b. </w:t>
            </w:r>
            <w:proofErr w:type="gramStart"/>
            <w:r>
              <w:rPr>
                <w:sz w:val="18"/>
                <w:szCs w:val="18"/>
                <w:lang w:eastAsia="zh-CN"/>
              </w:rPr>
              <w:t>d</w:t>
            </w:r>
            <w:r w:rsidRPr="003C7511">
              <w:rPr>
                <w:sz w:val="18"/>
                <w:szCs w:val="18"/>
                <w:lang w:eastAsia="zh-CN"/>
              </w:rPr>
              <w:t>evelop</w:t>
            </w:r>
            <w:proofErr w:type="gramEnd"/>
            <w:r w:rsidRPr="003C7511">
              <w:rPr>
                <w:sz w:val="18"/>
                <w:szCs w:val="18"/>
                <w:lang w:eastAsia="zh-CN"/>
              </w:rPr>
              <w:t xml:space="preserve"> tailored recommendations for mobilizing green finance resources including a plan for of internal organization and regulation framework improvements, non-financial reporting compliance with the selected international standards, corporate governance enhancements and IR activities structuring and planning, as well as pipeline building and green product design for the clients</w:t>
            </w:r>
          </w:p>
          <w:p w14:paraId="72521B4B" w14:textId="4250F704" w:rsidR="00107BA1" w:rsidRPr="00CA1FF2" w:rsidRDefault="003C7511" w:rsidP="003C7511">
            <w:pPr>
              <w:spacing w:after="120"/>
              <w:cnfStyle w:val="000000000000" w:firstRow="0" w:lastRow="0" w:firstColumn="0" w:lastColumn="0" w:oddVBand="0" w:evenVBand="0" w:oddHBand="0" w:evenHBand="0" w:firstRowFirstColumn="0" w:firstRowLastColumn="0" w:lastRowFirstColumn="0" w:lastRowLastColumn="0"/>
              <w:rPr>
                <w:sz w:val="18"/>
                <w:szCs w:val="18"/>
                <w:lang w:eastAsia="zh-CN"/>
              </w:rPr>
            </w:pPr>
            <w:r>
              <w:rPr>
                <w:sz w:val="18"/>
                <w:szCs w:val="18"/>
                <w:lang w:eastAsia="zh-CN"/>
              </w:rPr>
              <w:t xml:space="preserve">c. </w:t>
            </w:r>
            <w:r w:rsidR="004F66F1">
              <w:rPr>
                <w:sz w:val="18"/>
                <w:szCs w:val="18"/>
                <w:lang w:eastAsia="zh-CN"/>
              </w:rPr>
              <w:t xml:space="preserve">capacitate targeted financial institutions </w:t>
            </w:r>
            <w:r w:rsidRPr="003C7511">
              <w:rPr>
                <w:sz w:val="18"/>
                <w:szCs w:val="18"/>
                <w:lang w:eastAsia="zh-CN"/>
              </w:rPr>
              <w:t>on</w:t>
            </w:r>
            <w:r w:rsidR="00B81590">
              <w:rPr>
                <w:sz w:val="18"/>
                <w:szCs w:val="18"/>
                <w:lang w:eastAsia="zh-CN"/>
              </w:rPr>
              <w:t xml:space="preserve"> developed recommendations</w:t>
            </w:r>
            <w:r w:rsidR="00250463">
              <w:rPr>
                <w:sz w:val="18"/>
                <w:szCs w:val="18"/>
                <w:lang w:eastAsia="zh-CN"/>
              </w:rPr>
              <w:t xml:space="preserve"> and internal regulatory framework.</w:t>
            </w:r>
            <w:r w:rsidRPr="003C7511">
              <w:rPr>
                <w:sz w:val="18"/>
                <w:szCs w:val="18"/>
                <w:lang w:eastAsia="zh-CN"/>
              </w:rPr>
              <w:t xml:space="preserve"> </w:t>
            </w:r>
          </w:p>
        </w:tc>
        <w:tc>
          <w:tcPr>
            <w:tcW w:w="1194" w:type="pct"/>
          </w:tcPr>
          <w:p w14:paraId="1549CFF0" w14:textId="77777777" w:rsidR="0028576D" w:rsidRDefault="0028576D" w:rsidP="0028576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Key qualifications of </w:t>
            </w:r>
            <w:r w:rsidRPr="004F5B02">
              <w:rPr>
                <w:sz w:val="18"/>
                <w:szCs w:val="18"/>
              </w:rPr>
              <w:t>a firm/key personnel:</w:t>
            </w:r>
          </w:p>
          <w:p w14:paraId="331CF1A8" w14:textId="264463B1" w:rsidR="004357D2" w:rsidRDefault="00CF2A0D" w:rsidP="0028576D">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CF2A0D">
              <w:rPr>
                <w:sz w:val="18"/>
                <w:szCs w:val="18"/>
              </w:rPr>
              <w:lastRenderedPageBreak/>
              <w:t>Strong track record in assisting financial institutions to access and manage green finance</w:t>
            </w:r>
          </w:p>
          <w:p w14:paraId="4BBAE1C9" w14:textId="683ACED0" w:rsidR="0028576D" w:rsidRDefault="0028576D" w:rsidP="0028576D">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Knowledge of the regional/national financial institutional contexts</w:t>
            </w:r>
          </w:p>
          <w:p w14:paraId="2E839B13" w14:textId="6849AAA8" w:rsidR="0028576D" w:rsidRDefault="0028576D" w:rsidP="0028576D">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Proven knowledge of international green finance frameworks and ESS screening methodologies (e.g. UNDP, WB, GBI</w:t>
            </w:r>
            <w:r w:rsidR="001D5083">
              <w:rPr>
                <w:sz w:val="18"/>
                <w:szCs w:val="18"/>
              </w:rPr>
              <w:t>, GCF</w:t>
            </w:r>
            <w:r>
              <w:rPr>
                <w:sz w:val="18"/>
                <w:szCs w:val="18"/>
              </w:rPr>
              <w:t>)</w:t>
            </w:r>
          </w:p>
          <w:p w14:paraId="02363AF5" w14:textId="44C075E4" w:rsidR="001D5083" w:rsidRPr="00F305B8" w:rsidRDefault="009873C3" w:rsidP="0028576D">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9873C3">
              <w:rPr>
                <w:sz w:val="18"/>
                <w:szCs w:val="18"/>
              </w:rPr>
              <w:t>Expertise in conducting studies, action plans, and modeling efforts related to green finance, risk management, and regulatory improvement.</w:t>
            </w:r>
          </w:p>
          <w:p w14:paraId="4D3610AE" w14:textId="67E760F8" w:rsidR="009873C3" w:rsidRDefault="00BC0914" w:rsidP="0028576D">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BC0914">
              <w:rPr>
                <w:sz w:val="18"/>
                <w:szCs w:val="18"/>
              </w:rPr>
              <w:t xml:space="preserve">Demonstrated expertise in developing climate risk management tools and green finance guidelines for </w:t>
            </w:r>
            <w:r w:rsidR="00F86C09">
              <w:rPr>
                <w:sz w:val="18"/>
                <w:szCs w:val="18"/>
              </w:rPr>
              <w:t>public and private institutions</w:t>
            </w:r>
          </w:p>
          <w:p w14:paraId="0F2C7284" w14:textId="1C25DB4D" w:rsidR="009B12BC" w:rsidRDefault="009B12BC" w:rsidP="0028576D">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9B12BC">
              <w:rPr>
                <w:sz w:val="18"/>
                <w:szCs w:val="18"/>
              </w:rPr>
              <w:t>Examples of successfully completed projects in the financial sector, particularly related to green finance, non-financial reporting, and pipeline development</w:t>
            </w:r>
          </w:p>
          <w:p w14:paraId="69C8308E" w14:textId="7B087990" w:rsidR="0028576D" w:rsidRDefault="0028576D" w:rsidP="0028576D">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Experience in development capacity building materials and training provision</w:t>
            </w:r>
            <w:r w:rsidR="009873C3">
              <w:rPr>
                <w:sz w:val="18"/>
                <w:szCs w:val="18"/>
              </w:rPr>
              <w:t>.</w:t>
            </w:r>
          </w:p>
          <w:p w14:paraId="52EDFC0A" w14:textId="69E01471" w:rsidR="0055488C" w:rsidRPr="00CA1FF2" w:rsidRDefault="0055488C" w:rsidP="009B12BC">
            <w:pPr>
              <w:cnfStyle w:val="000000000000" w:firstRow="0" w:lastRow="0" w:firstColumn="0" w:lastColumn="0" w:oddVBand="0" w:evenVBand="0" w:oddHBand="0" w:evenHBand="0" w:firstRowFirstColumn="0" w:firstRowLastColumn="0" w:lastRowFirstColumn="0" w:lastRowLastColumn="0"/>
              <w:rPr>
                <w:sz w:val="18"/>
                <w:szCs w:val="18"/>
              </w:rPr>
            </w:pPr>
          </w:p>
        </w:tc>
        <w:tc>
          <w:tcPr>
            <w:tcW w:w="324" w:type="pct"/>
          </w:tcPr>
          <w:p w14:paraId="0EEAE5C6" w14:textId="1D613572" w:rsidR="0055488C" w:rsidRPr="49A77A39" w:rsidDel="008D0E24" w:rsidRDefault="00E054D8">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H</w:t>
            </w:r>
          </w:p>
        </w:tc>
      </w:tr>
      <w:tr w:rsidR="00D83760" w:rsidRPr="00450B52" w14:paraId="28C206E4"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12AFF36F" w14:textId="77777777" w:rsidR="00D83760" w:rsidRPr="00205248" w:rsidRDefault="00D83760">
            <w:pPr>
              <w:rPr>
                <w:color w:val="808080" w:themeColor="background1" w:themeShade="80"/>
                <w:sz w:val="18"/>
                <w:szCs w:val="18"/>
              </w:rPr>
            </w:pPr>
            <w:r w:rsidRPr="00205248">
              <w:rPr>
                <w:color w:val="808080" w:themeColor="background1" w:themeShade="80"/>
                <w:sz w:val="18"/>
                <w:szCs w:val="18"/>
              </w:rPr>
              <w:t>DP</w:t>
            </w:r>
          </w:p>
        </w:tc>
        <w:tc>
          <w:tcPr>
            <w:tcW w:w="613" w:type="pct"/>
          </w:tcPr>
          <w:p w14:paraId="031A935D" w14:textId="77777777" w:rsidR="00D83760" w:rsidRPr="00205248" w:rsidRDefault="00D83760">
            <w:pPr>
              <w:spacing w:after="120"/>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205248">
              <w:rPr>
                <w:sz w:val="18"/>
                <w:szCs w:val="18"/>
              </w:rPr>
              <w:t xml:space="preserve">International specialist in developing reporting system on green projects </w:t>
            </w:r>
            <w:r w:rsidRPr="00205248">
              <w:rPr>
                <w:sz w:val="18"/>
                <w:szCs w:val="18"/>
              </w:rPr>
              <w:lastRenderedPageBreak/>
              <w:t>(international consultant)</w:t>
            </w:r>
          </w:p>
        </w:tc>
        <w:tc>
          <w:tcPr>
            <w:tcW w:w="842" w:type="pct"/>
          </w:tcPr>
          <w:p w14:paraId="2D940671" w14:textId="77777777" w:rsidR="00D83760" w:rsidRPr="00205248"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rPr>
            </w:pPr>
            <w:r w:rsidRPr="00205248">
              <w:rPr>
                <w:sz w:val="18"/>
                <w:szCs w:val="18"/>
              </w:rPr>
              <w:lastRenderedPageBreak/>
              <w:t>Output 2.2.6. Sectorial strategic frameworks or associated plans developed.</w:t>
            </w:r>
          </w:p>
        </w:tc>
        <w:tc>
          <w:tcPr>
            <w:tcW w:w="1642" w:type="pct"/>
          </w:tcPr>
          <w:p w14:paraId="22C7E49D" w14:textId="77777777" w:rsidR="00D83760" w:rsidRPr="00205248"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05248">
              <w:rPr>
                <w:sz w:val="18"/>
                <w:szCs w:val="18"/>
                <w:lang w:val="en-GB" w:eastAsia="zh-CN"/>
              </w:rPr>
              <w:t>Develop sectoral regulatory framework for operationalization of the green taxonomy (Activity 2.2.6.1.a):</w:t>
            </w:r>
          </w:p>
          <w:p w14:paraId="699A110E" w14:textId="77777777" w:rsidR="00D83760" w:rsidRPr="00205248"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05248">
              <w:rPr>
                <w:sz w:val="18"/>
                <w:szCs w:val="18"/>
                <w:lang w:val="en-GB" w:eastAsia="zh-CN"/>
              </w:rPr>
              <w:t>a. lead the development of institutional guidelines and provide advisory for drafting bylaws.</w:t>
            </w:r>
          </w:p>
          <w:p w14:paraId="568D44DD" w14:textId="77777777" w:rsidR="00D83760"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205248">
              <w:rPr>
                <w:sz w:val="18"/>
                <w:szCs w:val="18"/>
                <w:lang w:val="en-GB" w:eastAsia="zh-CN"/>
              </w:rPr>
              <w:lastRenderedPageBreak/>
              <w:t xml:space="preserve">b. </w:t>
            </w:r>
            <w:proofErr w:type="gramStart"/>
            <w:r w:rsidRPr="00205248">
              <w:rPr>
                <w:sz w:val="18"/>
                <w:szCs w:val="18"/>
                <w:lang w:val="en-GB" w:eastAsia="zh-CN"/>
              </w:rPr>
              <w:t>lead</w:t>
            </w:r>
            <w:proofErr w:type="gramEnd"/>
            <w:r w:rsidRPr="00205248">
              <w:rPr>
                <w:sz w:val="18"/>
                <w:szCs w:val="18"/>
                <w:lang w:val="en-GB" w:eastAsia="zh-CN"/>
              </w:rPr>
              <w:t xml:space="preserve"> the development of guidelines for private sector on how to use the taxonomy when operation related to the selected sectors.</w:t>
            </w:r>
          </w:p>
          <w:p w14:paraId="746436B2" w14:textId="1C8DB4D6" w:rsidR="00A53332" w:rsidRPr="00205248" w:rsidRDefault="00A5333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lang w:val="en-GB" w:eastAsia="zh-CN"/>
              </w:rPr>
              <w:t xml:space="preserve">c. </w:t>
            </w:r>
            <w:proofErr w:type="gramStart"/>
            <w:r w:rsidR="00345643">
              <w:rPr>
                <w:sz w:val="18"/>
                <w:szCs w:val="18"/>
                <w:lang w:val="en-GB" w:eastAsia="zh-CN"/>
              </w:rPr>
              <w:t>facilitate</w:t>
            </w:r>
            <w:proofErr w:type="gramEnd"/>
            <w:r>
              <w:rPr>
                <w:sz w:val="18"/>
                <w:szCs w:val="18"/>
                <w:lang w:val="en-GB" w:eastAsia="zh-CN"/>
              </w:rPr>
              <w:t xml:space="preserve"> compliance of the developed guidelines </w:t>
            </w:r>
            <w:r w:rsidR="00E8547B">
              <w:rPr>
                <w:sz w:val="18"/>
                <w:szCs w:val="18"/>
                <w:lang w:val="en-GB" w:eastAsia="zh-CN"/>
              </w:rPr>
              <w:t>and bylaws with ESS</w:t>
            </w:r>
            <w:r w:rsidR="00E918A1">
              <w:rPr>
                <w:sz w:val="18"/>
                <w:szCs w:val="18"/>
                <w:lang w:val="en-GB" w:eastAsia="zh-CN"/>
              </w:rPr>
              <w:t>.</w:t>
            </w:r>
          </w:p>
          <w:p w14:paraId="46301736" w14:textId="3CB565B9" w:rsidR="00DA06F7" w:rsidRDefault="00A5333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lang w:val="en-GB" w:eastAsia="zh-CN"/>
              </w:rPr>
              <w:t>d</w:t>
            </w:r>
            <w:r w:rsidR="00D83760" w:rsidRPr="00205248">
              <w:rPr>
                <w:sz w:val="18"/>
                <w:szCs w:val="18"/>
                <w:lang w:val="en-GB" w:eastAsia="zh-CN"/>
              </w:rPr>
              <w:t xml:space="preserve">. </w:t>
            </w:r>
            <w:proofErr w:type="gramStart"/>
            <w:r w:rsidR="00D83760" w:rsidRPr="00205248">
              <w:rPr>
                <w:sz w:val="18"/>
                <w:szCs w:val="18"/>
                <w:lang w:val="en-GB" w:eastAsia="zh-CN"/>
              </w:rPr>
              <w:t>advise</w:t>
            </w:r>
            <w:proofErr w:type="gramEnd"/>
            <w:r w:rsidR="00D83760" w:rsidRPr="00205248">
              <w:rPr>
                <w:sz w:val="18"/>
                <w:szCs w:val="18"/>
                <w:lang w:val="en-GB" w:eastAsia="zh-CN"/>
              </w:rPr>
              <w:t xml:space="preserve"> the development of training materials for the selected sectors.</w:t>
            </w:r>
          </w:p>
          <w:p w14:paraId="0497B904" w14:textId="6FED5126" w:rsidR="00E91115" w:rsidRPr="00205248" w:rsidRDefault="00E91115">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p>
        </w:tc>
        <w:tc>
          <w:tcPr>
            <w:tcW w:w="1194" w:type="pct"/>
          </w:tcPr>
          <w:p w14:paraId="4BA1830D" w14:textId="77777777" w:rsidR="00D83760" w:rsidRPr="00205248" w:rsidRDefault="00D8376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205248">
              <w:rPr>
                <w:sz w:val="18"/>
                <w:szCs w:val="18"/>
              </w:rPr>
              <w:lastRenderedPageBreak/>
              <w:t>Master’s degree in finance, economic or social science studies or another relevant field</w:t>
            </w:r>
          </w:p>
          <w:p w14:paraId="0E2D7732" w14:textId="77777777" w:rsidR="00D83760"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205248">
              <w:rPr>
                <w:sz w:val="18"/>
                <w:szCs w:val="18"/>
              </w:rPr>
              <w:t>Multiple years of experience in developing reporting system on green projects</w:t>
            </w:r>
          </w:p>
          <w:p w14:paraId="08CE8995" w14:textId="739D735B" w:rsidR="002618C9" w:rsidRPr="00205248" w:rsidRDefault="002618C9"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lastRenderedPageBreak/>
              <w:t>Proven knowledge of E</w:t>
            </w:r>
            <w:r w:rsidR="00AB3ED0">
              <w:rPr>
                <w:sz w:val="18"/>
                <w:szCs w:val="18"/>
              </w:rPr>
              <w:t xml:space="preserve">nvironmental and </w:t>
            </w:r>
            <w:r>
              <w:rPr>
                <w:sz w:val="18"/>
                <w:szCs w:val="18"/>
              </w:rPr>
              <w:t>S</w:t>
            </w:r>
            <w:r w:rsidR="00AB3ED0">
              <w:rPr>
                <w:sz w:val="18"/>
                <w:szCs w:val="18"/>
              </w:rPr>
              <w:t xml:space="preserve">ocial </w:t>
            </w:r>
            <w:r>
              <w:rPr>
                <w:sz w:val="18"/>
                <w:szCs w:val="18"/>
              </w:rPr>
              <w:t>S</w:t>
            </w:r>
            <w:r w:rsidR="00AB3ED0">
              <w:rPr>
                <w:sz w:val="18"/>
                <w:szCs w:val="18"/>
              </w:rPr>
              <w:t>afeguards</w:t>
            </w:r>
            <w:r>
              <w:rPr>
                <w:sz w:val="18"/>
                <w:szCs w:val="18"/>
              </w:rPr>
              <w:t>, including UNDP SESP</w:t>
            </w:r>
          </w:p>
          <w:p w14:paraId="01427B1B" w14:textId="77777777" w:rsidR="00D83760" w:rsidRPr="00205248"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205248">
              <w:rPr>
                <w:sz w:val="18"/>
                <w:szCs w:val="18"/>
              </w:rPr>
              <w:t>Professional knowledge of regulatory framework with focus on customs and taxes</w:t>
            </w:r>
          </w:p>
          <w:p w14:paraId="6E79684A" w14:textId="77777777" w:rsidR="00D83760" w:rsidRPr="00205248"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205248">
              <w:rPr>
                <w:sz w:val="18"/>
                <w:szCs w:val="18"/>
              </w:rPr>
              <w:t>Knowledge of the regulatory context in financial sector in Central Asia countries</w:t>
            </w:r>
          </w:p>
          <w:p w14:paraId="42A2C28A" w14:textId="77777777" w:rsidR="00D83760" w:rsidRPr="00205248"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205248">
              <w:rPr>
                <w:sz w:val="18"/>
                <w:szCs w:val="18"/>
              </w:rPr>
              <w:t>Experience in capacity building</w:t>
            </w:r>
          </w:p>
        </w:tc>
        <w:tc>
          <w:tcPr>
            <w:tcW w:w="324" w:type="pct"/>
          </w:tcPr>
          <w:p w14:paraId="790DFD79" w14:textId="2E7E6E09" w:rsidR="00D83760" w:rsidRPr="00205248" w:rsidRDefault="50FCA9E5">
            <w:pPr>
              <w:cnfStyle w:val="000000100000" w:firstRow="0" w:lastRow="0" w:firstColumn="0" w:lastColumn="0" w:oddVBand="0" w:evenVBand="0" w:oddHBand="1" w:evenHBand="0" w:firstRowFirstColumn="0" w:firstRowLastColumn="0" w:lastRowFirstColumn="0" w:lastRowLastColumn="0"/>
              <w:rPr>
                <w:sz w:val="18"/>
                <w:szCs w:val="18"/>
              </w:rPr>
            </w:pPr>
            <w:r w:rsidRPr="49A77A39">
              <w:rPr>
                <w:sz w:val="18"/>
                <w:szCs w:val="18"/>
              </w:rPr>
              <w:lastRenderedPageBreak/>
              <w:t>I</w:t>
            </w:r>
          </w:p>
        </w:tc>
      </w:tr>
      <w:tr w:rsidR="00D83760" w:rsidRPr="00450B52" w14:paraId="240FED48" w14:textId="77777777" w:rsidTr="00F80EF7">
        <w:tc>
          <w:tcPr>
            <w:cnfStyle w:val="001000000000" w:firstRow="0" w:lastRow="0" w:firstColumn="1" w:lastColumn="0" w:oddVBand="0" w:evenVBand="0" w:oddHBand="0" w:evenHBand="0" w:firstRowFirstColumn="0" w:firstRowLastColumn="0" w:lastRowFirstColumn="0" w:lastRowLastColumn="0"/>
            <w:tcW w:w="385" w:type="pct"/>
          </w:tcPr>
          <w:p w14:paraId="368F1D17" w14:textId="77777777" w:rsidR="00D83760" w:rsidRPr="00F71D38" w:rsidRDefault="00D83760">
            <w:pPr>
              <w:rPr>
                <w:color w:val="808080" w:themeColor="background1" w:themeShade="80"/>
                <w:sz w:val="18"/>
                <w:szCs w:val="18"/>
              </w:rPr>
            </w:pPr>
            <w:r w:rsidRPr="00F71D38">
              <w:rPr>
                <w:color w:val="808080" w:themeColor="background1" w:themeShade="80"/>
                <w:sz w:val="18"/>
                <w:szCs w:val="18"/>
              </w:rPr>
              <w:t>DP</w:t>
            </w:r>
          </w:p>
        </w:tc>
        <w:tc>
          <w:tcPr>
            <w:tcW w:w="613" w:type="pct"/>
          </w:tcPr>
          <w:p w14:paraId="2B5BC10A" w14:textId="77777777" w:rsidR="00D83760" w:rsidRPr="00F71D38"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F71D38">
              <w:rPr>
                <w:sz w:val="18"/>
                <w:szCs w:val="18"/>
              </w:rPr>
              <w:t>Local tax regulations specialist (local consultant)</w:t>
            </w:r>
          </w:p>
        </w:tc>
        <w:tc>
          <w:tcPr>
            <w:tcW w:w="842" w:type="pct"/>
          </w:tcPr>
          <w:p w14:paraId="7A09739F" w14:textId="77777777" w:rsidR="00D83760" w:rsidRPr="00F71D38"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F71D38">
              <w:rPr>
                <w:sz w:val="18"/>
                <w:szCs w:val="18"/>
              </w:rPr>
              <w:t>Output 2.2.6. Sectorial strategic frameworks or associated plans developed.</w:t>
            </w:r>
          </w:p>
        </w:tc>
        <w:tc>
          <w:tcPr>
            <w:tcW w:w="1642" w:type="pct"/>
          </w:tcPr>
          <w:p w14:paraId="57A5968B" w14:textId="77777777" w:rsidR="00D83760" w:rsidRPr="00F71D38"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71D38">
              <w:rPr>
                <w:sz w:val="18"/>
                <w:szCs w:val="18"/>
                <w:lang w:val="en-GB" w:eastAsia="zh-CN"/>
              </w:rPr>
              <w:t>Develop sectoral regulatory framework for operationalization of the green taxonomy (Activity 2.2.6.1.a):</w:t>
            </w:r>
          </w:p>
          <w:p w14:paraId="068D2F09" w14:textId="77777777" w:rsidR="00D83760" w:rsidRPr="00F71D38"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71D38">
              <w:rPr>
                <w:sz w:val="18"/>
                <w:szCs w:val="18"/>
                <w:lang w:val="en-GB" w:eastAsia="zh-CN"/>
              </w:rPr>
              <w:t>a. provide contextualized inputs for the development of institutional guidelines and provide advisory for drafting bylaws related to the national tax service operation.</w:t>
            </w:r>
          </w:p>
          <w:p w14:paraId="71522C41" w14:textId="77777777" w:rsidR="00D83760" w:rsidRPr="00F71D38"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71D38">
              <w:rPr>
                <w:sz w:val="18"/>
                <w:szCs w:val="18"/>
                <w:lang w:val="en-GB" w:eastAsia="zh-CN"/>
              </w:rPr>
              <w:t>b. provide inputs to the development of guidelines for private sector on how to use the taxonomy when operation related to the tax services.</w:t>
            </w:r>
          </w:p>
          <w:p w14:paraId="7878BE75" w14:textId="77777777" w:rsidR="00D83760" w:rsidRPr="00F71D38"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71D38">
              <w:rPr>
                <w:sz w:val="18"/>
                <w:szCs w:val="18"/>
                <w:lang w:val="en-GB" w:eastAsia="zh-CN"/>
              </w:rPr>
              <w:t>c. develop training materials on the developed tax service related regulatory frameworks.</w:t>
            </w:r>
          </w:p>
          <w:p w14:paraId="4B2F90A7" w14:textId="77777777" w:rsidR="00D83760" w:rsidRPr="00F71D38"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71D38">
              <w:rPr>
                <w:sz w:val="18"/>
                <w:szCs w:val="18"/>
                <w:lang w:val="en-GB" w:eastAsia="zh-CN"/>
              </w:rPr>
              <w:t>d. ensure capacity building on the developed tax service related regulatory frameworks.</w:t>
            </w:r>
          </w:p>
        </w:tc>
        <w:tc>
          <w:tcPr>
            <w:tcW w:w="1194" w:type="pct"/>
          </w:tcPr>
          <w:p w14:paraId="7ACD4423" w14:textId="77777777" w:rsidR="00D83760" w:rsidRPr="00F71D38" w:rsidRDefault="00D83760"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F71D38">
              <w:rPr>
                <w:sz w:val="18"/>
                <w:szCs w:val="18"/>
              </w:rPr>
              <w:t>Higher degree in finance, economic or social science studies or another relevant field</w:t>
            </w:r>
          </w:p>
          <w:p w14:paraId="2FBBDB04" w14:textId="77777777" w:rsidR="00D83760" w:rsidRPr="00F71D38" w:rsidRDefault="00D83760"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F71D38">
              <w:rPr>
                <w:sz w:val="18"/>
                <w:szCs w:val="18"/>
              </w:rPr>
              <w:t>Professional knowledge of the national tax regulations</w:t>
            </w:r>
          </w:p>
          <w:p w14:paraId="54CDFC4C" w14:textId="77777777" w:rsidR="00D83760" w:rsidRPr="00F71D38" w:rsidRDefault="00D83760"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F71D38">
              <w:rPr>
                <w:sz w:val="18"/>
                <w:szCs w:val="18"/>
              </w:rPr>
              <w:t>Proven experience in policy formulation</w:t>
            </w:r>
          </w:p>
          <w:p w14:paraId="7D54D343" w14:textId="77777777" w:rsidR="00D83760" w:rsidRPr="00F71D38" w:rsidRDefault="00D83760" w:rsidP="00163FD5">
            <w:pPr>
              <w:pStyle w:val="ListParagraph"/>
              <w:numPr>
                <w:ilvl w:val="0"/>
                <w:numId w:val="27"/>
              </w:num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F71D38">
              <w:rPr>
                <w:sz w:val="18"/>
                <w:szCs w:val="18"/>
              </w:rPr>
              <w:t>Several years of experience in/with private sector</w:t>
            </w:r>
          </w:p>
          <w:p w14:paraId="2D8B74C8" w14:textId="77777777" w:rsidR="00D83760" w:rsidRDefault="00D83760" w:rsidP="00163FD5">
            <w:pPr>
              <w:pStyle w:val="ListParagraph"/>
              <w:numPr>
                <w:ilvl w:val="0"/>
                <w:numId w:val="27"/>
              </w:num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F71D38">
              <w:rPr>
                <w:sz w:val="18"/>
                <w:szCs w:val="18"/>
              </w:rPr>
              <w:t>Experience in capacity development</w:t>
            </w:r>
          </w:p>
          <w:p w14:paraId="3A39A182" w14:textId="34B45B20" w:rsidR="006D73BF" w:rsidRPr="00F71D38" w:rsidRDefault="00162FAD" w:rsidP="00163FD5">
            <w:pPr>
              <w:pStyle w:val="ListParagraph"/>
              <w:numPr>
                <w:ilvl w:val="0"/>
                <w:numId w:val="27"/>
              </w:num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Proven knowledge of international best practice</w:t>
            </w:r>
            <w:r w:rsidR="00F51AC6">
              <w:rPr>
                <w:sz w:val="18"/>
                <w:szCs w:val="18"/>
              </w:rPr>
              <w:t xml:space="preserve"> of implementation of green taxonomies</w:t>
            </w:r>
          </w:p>
        </w:tc>
        <w:tc>
          <w:tcPr>
            <w:tcW w:w="324" w:type="pct"/>
          </w:tcPr>
          <w:p w14:paraId="4FF5CEEB" w14:textId="54B5E22C" w:rsidR="00D83760" w:rsidRPr="00F71D38" w:rsidRDefault="57936743">
            <w:pPr>
              <w:cnfStyle w:val="000000000000" w:firstRow="0" w:lastRow="0" w:firstColumn="0" w:lastColumn="0" w:oddVBand="0" w:evenVBand="0" w:oddHBand="0" w:evenHBand="0" w:firstRowFirstColumn="0" w:firstRowLastColumn="0" w:lastRowFirstColumn="0" w:lastRowLastColumn="0"/>
              <w:rPr>
                <w:sz w:val="18"/>
                <w:szCs w:val="18"/>
              </w:rPr>
            </w:pPr>
            <w:r w:rsidRPr="49A77A39">
              <w:rPr>
                <w:sz w:val="18"/>
                <w:szCs w:val="18"/>
              </w:rPr>
              <w:t>J</w:t>
            </w:r>
          </w:p>
        </w:tc>
      </w:tr>
      <w:tr w:rsidR="00D83760" w:rsidRPr="00E6797A" w14:paraId="60EEB8E7"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120EA9D1" w14:textId="77777777" w:rsidR="00D83760" w:rsidRPr="00E6797A" w:rsidRDefault="00D83760">
            <w:pPr>
              <w:rPr>
                <w:color w:val="808080" w:themeColor="background1" w:themeShade="80"/>
                <w:sz w:val="18"/>
                <w:szCs w:val="18"/>
              </w:rPr>
            </w:pPr>
            <w:r w:rsidRPr="00E6797A">
              <w:rPr>
                <w:color w:val="808080" w:themeColor="background1" w:themeShade="80"/>
                <w:sz w:val="18"/>
                <w:szCs w:val="18"/>
              </w:rPr>
              <w:t>DP</w:t>
            </w:r>
          </w:p>
        </w:tc>
        <w:tc>
          <w:tcPr>
            <w:tcW w:w="613" w:type="pct"/>
          </w:tcPr>
          <w:p w14:paraId="5795756A" w14:textId="77777777" w:rsidR="00D83760" w:rsidRPr="00E6797A" w:rsidRDefault="00D83760">
            <w:pPr>
              <w:spacing w:after="120"/>
              <w:cnfStyle w:val="000000100000" w:firstRow="0" w:lastRow="0" w:firstColumn="0" w:lastColumn="0" w:oddVBand="0" w:evenVBand="0" w:oddHBand="1" w:evenHBand="0" w:firstRowFirstColumn="0" w:firstRowLastColumn="0" w:lastRowFirstColumn="0" w:lastRowLastColumn="0"/>
              <w:rPr>
                <w:color w:val="808080" w:themeColor="background1" w:themeShade="80"/>
                <w:sz w:val="18"/>
                <w:szCs w:val="18"/>
              </w:rPr>
            </w:pPr>
            <w:r w:rsidRPr="00E6797A">
              <w:rPr>
                <w:sz w:val="18"/>
                <w:szCs w:val="18"/>
              </w:rPr>
              <w:t>Local customs regulations specialist (local consultant)</w:t>
            </w:r>
          </w:p>
        </w:tc>
        <w:tc>
          <w:tcPr>
            <w:tcW w:w="842" w:type="pct"/>
          </w:tcPr>
          <w:p w14:paraId="1BC65015" w14:textId="77777777" w:rsidR="00D83760" w:rsidRPr="00E6797A"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rPr>
            </w:pPr>
            <w:r w:rsidRPr="00E6797A">
              <w:rPr>
                <w:sz w:val="18"/>
                <w:szCs w:val="18"/>
              </w:rPr>
              <w:t>Output 2.2.6. Sectorial strategic frameworks or associated plans developed.</w:t>
            </w:r>
          </w:p>
        </w:tc>
        <w:tc>
          <w:tcPr>
            <w:tcW w:w="1642" w:type="pct"/>
          </w:tcPr>
          <w:p w14:paraId="21FAF0AD" w14:textId="77777777" w:rsidR="00D83760" w:rsidRPr="00E6797A"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E6797A">
              <w:rPr>
                <w:sz w:val="18"/>
                <w:szCs w:val="18"/>
                <w:lang w:val="en-GB" w:eastAsia="zh-CN"/>
              </w:rPr>
              <w:t>Develop sectoral regulatory framework for operationalization of the green taxonomy (Activity 2.2.6.1.a):</w:t>
            </w:r>
          </w:p>
          <w:p w14:paraId="32EFD56B" w14:textId="77777777" w:rsidR="00D83760" w:rsidRPr="00E6797A"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E6797A">
              <w:rPr>
                <w:sz w:val="18"/>
                <w:szCs w:val="18"/>
                <w:lang w:val="en-GB" w:eastAsia="zh-CN"/>
              </w:rPr>
              <w:t>a. provide contextualized inputs for the development of institutional guidelines and provide advisory for drafting bylaws related to the national customs service operation.</w:t>
            </w:r>
          </w:p>
          <w:p w14:paraId="35DB4908" w14:textId="77777777" w:rsidR="00D83760" w:rsidRPr="00E6797A"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E6797A">
              <w:rPr>
                <w:sz w:val="18"/>
                <w:szCs w:val="18"/>
                <w:lang w:val="en-GB" w:eastAsia="zh-CN"/>
              </w:rPr>
              <w:lastRenderedPageBreak/>
              <w:t>b. provide inputs to the development of guidelines for private sector on how to use the taxonomy when operation related to the customs services.</w:t>
            </w:r>
          </w:p>
          <w:p w14:paraId="388D859C" w14:textId="77777777" w:rsidR="00D83760" w:rsidRPr="00E6797A"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E6797A">
              <w:rPr>
                <w:sz w:val="18"/>
                <w:szCs w:val="18"/>
                <w:lang w:val="en-GB" w:eastAsia="zh-CN"/>
              </w:rPr>
              <w:t>c. develop training materials on the developed customs service related regulatory frameworks.</w:t>
            </w:r>
          </w:p>
          <w:p w14:paraId="284B7303" w14:textId="77777777" w:rsidR="00D83760" w:rsidRPr="00E6797A"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E6797A">
              <w:rPr>
                <w:sz w:val="18"/>
                <w:szCs w:val="18"/>
                <w:lang w:val="en-GB" w:eastAsia="zh-CN"/>
              </w:rPr>
              <w:t>d. ensure capacity building on the developed customs service related regulatory frameworks.</w:t>
            </w:r>
          </w:p>
        </w:tc>
        <w:tc>
          <w:tcPr>
            <w:tcW w:w="1194" w:type="pct"/>
          </w:tcPr>
          <w:p w14:paraId="7187FC8C" w14:textId="77777777" w:rsidR="00D83760" w:rsidRPr="00E6797A" w:rsidRDefault="00D8376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E6797A">
              <w:rPr>
                <w:sz w:val="18"/>
                <w:szCs w:val="18"/>
              </w:rPr>
              <w:lastRenderedPageBreak/>
              <w:t>Higher degree in finance, economic or social science studies or another relevant field</w:t>
            </w:r>
          </w:p>
          <w:p w14:paraId="08F08B7C" w14:textId="77777777" w:rsidR="00D83760" w:rsidRPr="00E6797A" w:rsidRDefault="00D8376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E6797A">
              <w:rPr>
                <w:sz w:val="18"/>
                <w:szCs w:val="18"/>
              </w:rPr>
              <w:t>Professional knowledge of the national customs regulations</w:t>
            </w:r>
          </w:p>
          <w:p w14:paraId="0F23DB02" w14:textId="77777777" w:rsidR="00D83760" w:rsidRPr="00E6797A" w:rsidRDefault="00D8376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E6797A">
              <w:rPr>
                <w:sz w:val="18"/>
                <w:szCs w:val="18"/>
              </w:rPr>
              <w:t>Proven experience in policy formulation</w:t>
            </w:r>
          </w:p>
          <w:p w14:paraId="6D958FB9" w14:textId="77777777" w:rsidR="00D83760" w:rsidRPr="00E6797A"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E6797A">
              <w:rPr>
                <w:sz w:val="18"/>
                <w:szCs w:val="18"/>
              </w:rPr>
              <w:t>Several years of experience in/with private sector</w:t>
            </w:r>
          </w:p>
          <w:p w14:paraId="1DB7AEA9" w14:textId="77777777" w:rsidR="00D83760" w:rsidRPr="00E6797A"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E6797A">
              <w:rPr>
                <w:sz w:val="18"/>
                <w:szCs w:val="18"/>
              </w:rPr>
              <w:lastRenderedPageBreak/>
              <w:t>Experience in capacity development</w:t>
            </w:r>
          </w:p>
        </w:tc>
        <w:tc>
          <w:tcPr>
            <w:tcW w:w="324" w:type="pct"/>
          </w:tcPr>
          <w:p w14:paraId="2AB44603" w14:textId="7FAF5BBC" w:rsidR="00D83760" w:rsidRPr="00E6797A" w:rsidRDefault="14B04093">
            <w:pPr>
              <w:cnfStyle w:val="000000100000" w:firstRow="0" w:lastRow="0" w:firstColumn="0" w:lastColumn="0" w:oddVBand="0" w:evenVBand="0" w:oddHBand="1" w:evenHBand="0" w:firstRowFirstColumn="0" w:firstRowLastColumn="0" w:lastRowFirstColumn="0" w:lastRowLastColumn="0"/>
              <w:rPr>
                <w:sz w:val="18"/>
                <w:szCs w:val="18"/>
              </w:rPr>
            </w:pPr>
            <w:r w:rsidRPr="49A77A39">
              <w:rPr>
                <w:sz w:val="18"/>
                <w:szCs w:val="18"/>
              </w:rPr>
              <w:lastRenderedPageBreak/>
              <w:t>K</w:t>
            </w:r>
          </w:p>
        </w:tc>
      </w:tr>
      <w:tr w:rsidR="00D83760" w:rsidRPr="00450B52" w14:paraId="3E643AD4" w14:textId="77777777" w:rsidTr="00F80EF7">
        <w:tc>
          <w:tcPr>
            <w:cnfStyle w:val="001000000000" w:firstRow="0" w:lastRow="0" w:firstColumn="1" w:lastColumn="0" w:oddVBand="0" w:evenVBand="0" w:oddHBand="0" w:evenHBand="0" w:firstRowFirstColumn="0" w:firstRowLastColumn="0" w:lastRowFirstColumn="0" w:lastRowLastColumn="0"/>
            <w:tcW w:w="385" w:type="pct"/>
          </w:tcPr>
          <w:p w14:paraId="413871A0" w14:textId="77777777" w:rsidR="00D83760" w:rsidRPr="0070062D" w:rsidRDefault="00D83760">
            <w:pPr>
              <w:rPr>
                <w:color w:val="808080" w:themeColor="background1" w:themeShade="80"/>
                <w:sz w:val="18"/>
                <w:szCs w:val="18"/>
              </w:rPr>
            </w:pPr>
            <w:r>
              <w:rPr>
                <w:color w:val="808080" w:themeColor="background1" w:themeShade="80"/>
                <w:sz w:val="18"/>
                <w:szCs w:val="18"/>
              </w:rPr>
              <w:t>DP</w:t>
            </w:r>
          </w:p>
        </w:tc>
        <w:tc>
          <w:tcPr>
            <w:tcW w:w="613" w:type="pct"/>
          </w:tcPr>
          <w:p w14:paraId="2D6BDCB2" w14:textId="77777777" w:rsidR="00D83760" w:rsidRPr="00341B55" w:rsidRDefault="00D83760">
            <w:pPr>
              <w:spacing w:after="120"/>
              <w:cnfStyle w:val="000000000000" w:firstRow="0" w:lastRow="0" w:firstColumn="0" w:lastColumn="0" w:oddVBand="0" w:evenVBand="0" w:oddHBand="0" w:evenHBand="0" w:firstRowFirstColumn="0" w:firstRowLastColumn="0" w:lastRowFirstColumn="0" w:lastRowLastColumn="0"/>
              <w:rPr>
                <w:color w:val="808080" w:themeColor="background1" w:themeShade="80"/>
                <w:sz w:val="18"/>
                <w:szCs w:val="18"/>
                <w:highlight w:val="yellow"/>
              </w:rPr>
            </w:pPr>
            <w:r w:rsidRPr="00CA37E9">
              <w:rPr>
                <w:sz w:val="18"/>
                <w:szCs w:val="18"/>
              </w:rPr>
              <w:t>International specialist in policy formulation for financial sector (international consultant)</w:t>
            </w:r>
          </w:p>
        </w:tc>
        <w:tc>
          <w:tcPr>
            <w:tcW w:w="842" w:type="pct"/>
          </w:tcPr>
          <w:p w14:paraId="1DFE5CC7" w14:textId="77777777" w:rsidR="00D83760" w:rsidRPr="001579AF"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1579AF">
              <w:rPr>
                <w:sz w:val="18"/>
                <w:szCs w:val="18"/>
              </w:rPr>
              <w:t>Output 2.2.6. Sectorial strategic frameworks or associated plans developed.</w:t>
            </w:r>
          </w:p>
          <w:p w14:paraId="4239F60A" w14:textId="77777777" w:rsidR="00D83760" w:rsidRPr="0070062D"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1579AF">
              <w:rPr>
                <w:sz w:val="18"/>
                <w:szCs w:val="18"/>
              </w:rPr>
              <w:t>Output 5.1.1. NDAs, DAEs, DPs have developed knowledge products containing information on LECRD, methodologies, lessons learned or best practices extracted from within the country and from other countries (South-South cooperation)</w:t>
            </w:r>
          </w:p>
        </w:tc>
        <w:tc>
          <w:tcPr>
            <w:tcW w:w="1642" w:type="pct"/>
          </w:tcPr>
          <w:p w14:paraId="44A0BCDE" w14:textId="745C48CA" w:rsidR="00D83760" w:rsidRPr="001579AF"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1579AF">
              <w:rPr>
                <w:sz w:val="18"/>
                <w:szCs w:val="18"/>
                <w:lang w:val="en-GB" w:eastAsia="zh-CN"/>
              </w:rPr>
              <w:t>Development of recommendations for regulatory incentives to promote green lending (Activity 2.2.6.1.</w:t>
            </w:r>
            <w:r w:rsidR="001579AF" w:rsidRPr="001579AF">
              <w:rPr>
                <w:sz w:val="18"/>
                <w:szCs w:val="18"/>
                <w:lang w:val="en-GB" w:eastAsia="zh-CN"/>
              </w:rPr>
              <w:t>b</w:t>
            </w:r>
            <w:r w:rsidRPr="001579AF">
              <w:rPr>
                <w:sz w:val="18"/>
                <w:szCs w:val="18"/>
                <w:lang w:val="en-GB" w:eastAsia="zh-CN"/>
              </w:rPr>
              <w:t>.):</w:t>
            </w:r>
          </w:p>
          <w:p w14:paraId="657A6551" w14:textId="77777777" w:rsidR="00D83760" w:rsidRPr="001579AF"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1579AF">
              <w:rPr>
                <w:sz w:val="18"/>
                <w:szCs w:val="18"/>
                <w:lang w:val="en-GB" w:eastAsia="zh-CN"/>
              </w:rPr>
              <w:t>a. lead the review of existing global practices of applying regulatory incentives to promote green lending.</w:t>
            </w:r>
          </w:p>
          <w:p w14:paraId="238DB802" w14:textId="77777777" w:rsidR="00D83760" w:rsidRPr="001579AF"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1579AF">
              <w:rPr>
                <w:sz w:val="18"/>
                <w:szCs w:val="18"/>
                <w:lang w:val="en-GB" w:eastAsia="zh-CN"/>
              </w:rPr>
              <w:t>b. lead the development of recommendations on suitable options in the national context.</w:t>
            </w:r>
          </w:p>
          <w:p w14:paraId="0ED8E791" w14:textId="77777777" w:rsidR="00D83760" w:rsidRPr="001579AF"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1579AF">
              <w:rPr>
                <w:sz w:val="18"/>
                <w:szCs w:val="18"/>
                <w:lang w:val="en-GB" w:eastAsia="zh-CN"/>
              </w:rPr>
              <w:t>c. lead the development of a business case for selected options to incentivize green lending.</w:t>
            </w:r>
          </w:p>
          <w:p w14:paraId="32385A0D" w14:textId="77777777" w:rsidR="00D83760" w:rsidRPr="001579AF"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1579AF">
              <w:rPr>
                <w:sz w:val="18"/>
                <w:szCs w:val="18"/>
                <w:lang w:val="en-GB" w:eastAsia="zh-CN"/>
              </w:rPr>
              <w:t>d. provide inputs to the development of the capacity building materials on the developed recommendations and business case.</w:t>
            </w:r>
          </w:p>
          <w:p w14:paraId="36E37D4A" w14:textId="77777777" w:rsidR="00D83760" w:rsidRPr="001579AF"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1579AF">
              <w:rPr>
                <w:sz w:val="18"/>
                <w:szCs w:val="18"/>
                <w:lang w:val="en-GB" w:eastAsia="zh-CN"/>
              </w:rPr>
              <w:t>Analysis of available derisking solutions for green financial products (Activity 5.1.1.2.d):</w:t>
            </w:r>
          </w:p>
          <w:p w14:paraId="504A4E2F" w14:textId="77777777" w:rsidR="00D83760" w:rsidRPr="001579AF"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1579AF">
              <w:rPr>
                <w:sz w:val="18"/>
                <w:szCs w:val="18"/>
                <w:lang w:val="en-GB" w:eastAsia="zh-CN"/>
              </w:rPr>
              <w:t>a. lead the analysis of existing tools on the national market and development of recommendations for improvements of existing or designing new derisking solutions based on benchmarks</w:t>
            </w:r>
          </w:p>
          <w:p w14:paraId="4DA633CB" w14:textId="77777777" w:rsidR="00D83760" w:rsidRPr="001579AF"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1579AF">
              <w:rPr>
                <w:sz w:val="18"/>
                <w:szCs w:val="18"/>
                <w:lang w:val="en-GB" w:eastAsia="zh-CN"/>
              </w:rPr>
              <w:t>b. provide inputs to the development of the capacity building materials on the developed recommendations.</w:t>
            </w:r>
          </w:p>
        </w:tc>
        <w:tc>
          <w:tcPr>
            <w:tcW w:w="1194" w:type="pct"/>
          </w:tcPr>
          <w:p w14:paraId="7C1DE0F6" w14:textId="77777777" w:rsidR="00D83760" w:rsidRDefault="00D83760"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A24277">
              <w:rPr>
                <w:sz w:val="18"/>
                <w:szCs w:val="18"/>
              </w:rPr>
              <w:t xml:space="preserve">Master’s degree in </w:t>
            </w:r>
            <w:r>
              <w:rPr>
                <w:sz w:val="18"/>
                <w:szCs w:val="18"/>
              </w:rPr>
              <w:t xml:space="preserve">finance, </w:t>
            </w:r>
            <w:r w:rsidRPr="00A24277">
              <w:rPr>
                <w:sz w:val="18"/>
                <w:szCs w:val="18"/>
              </w:rPr>
              <w:t>economic or social science studies or another relevant field</w:t>
            </w:r>
          </w:p>
          <w:p w14:paraId="214C44FD" w14:textId="77777777" w:rsidR="00D83760" w:rsidRPr="00746C02" w:rsidRDefault="00D83760"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A24277">
              <w:rPr>
                <w:sz w:val="18"/>
                <w:szCs w:val="18"/>
              </w:rPr>
              <w:t>Multiple years of experience in</w:t>
            </w:r>
            <w:r w:rsidRPr="00746C02">
              <w:rPr>
                <w:sz w:val="18"/>
                <w:szCs w:val="18"/>
              </w:rPr>
              <w:t xml:space="preserve"> banking sector and regulations</w:t>
            </w:r>
          </w:p>
          <w:p w14:paraId="05FF6F10" w14:textId="77777777" w:rsidR="00D83760" w:rsidRPr="00746C02" w:rsidRDefault="00D83760" w:rsidP="00163FD5">
            <w:pPr>
              <w:pStyle w:val="ListParagraph"/>
              <w:numPr>
                <w:ilvl w:val="0"/>
                <w:numId w:val="27"/>
              </w:num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746C02">
              <w:rPr>
                <w:sz w:val="18"/>
                <w:szCs w:val="18"/>
              </w:rPr>
              <w:t>Experience in policy formulation for the financial sector</w:t>
            </w:r>
          </w:p>
          <w:p w14:paraId="3354616D" w14:textId="77777777" w:rsidR="00D83760" w:rsidRPr="00746C02" w:rsidRDefault="00D83760" w:rsidP="00163FD5">
            <w:pPr>
              <w:pStyle w:val="ListParagraph"/>
              <w:numPr>
                <w:ilvl w:val="0"/>
                <w:numId w:val="27"/>
              </w:num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Professional knowledge of </w:t>
            </w:r>
            <w:r w:rsidRPr="00746C02">
              <w:rPr>
                <w:sz w:val="18"/>
                <w:szCs w:val="18"/>
              </w:rPr>
              <w:t>practices of green finance promotion</w:t>
            </w:r>
          </w:p>
        </w:tc>
        <w:tc>
          <w:tcPr>
            <w:tcW w:w="324" w:type="pct"/>
          </w:tcPr>
          <w:p w14:paraId="472A574F" w14:textId="7B86B5F0" w:rsidR="00D83760" w:rsidRPr="0070062D" w:rsidRDefault="40729B6C">
            <w:pPr>
              <w:cnfStyle w:val="000000000000" w:firstRow="0" w:lastRow="0" w:firstColumn="0" w:lastColumn="0" w:oddVBand="0" w:evenVBand="0" w:oddHBand="0" w:evenHBand="0" w:firstRowFirstColumn="0" w:firstRowLastColumn="0" w:lastRowFirstColumn="0" w:lastRowLastColumn="0"/>
            </w:pPr>
            <w:r w:rsidRPr="49A77A39">
              <w:rPr>
                <w:sz w:val="18"/>
                <w:szCs w:val="18"/>
              </w:rPr>
              <w:t>N</w:t>
            </w:r>
          </w:p>
        </w:tc>
      </w:tr>
      <w:tr w:rsidR="00D83760" w:rsidRPr="00465F15" w14:paraId="0BC28608"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2631BBA5" w14:textId="77777777" w:rsidR="00D83760" w:rsidRPr="0070062D" w:rsidRDefault="00D83760">
            <w:pPr>
              <w:rPr>
                <w:color w:val="808080" w:themeColor="background1" w:themeShade="80"/>
                <w:sz w:val="18"/>
                <w:szCs w:val="18"/>
              </w:rPr>
            </w:pPr>
            <w:r>
              <w:rPr>
                <w:color w:val="808080" w:themeColor="background1" w:themeShade="80"/>
                <w:sz w:val="18"/>
                <w:szCs w:val="18"/>
              </w:rPr>
              <w:t>DP</w:t>
            </w:r>
          </w:p>
        </w:tc>
        <w:tc>
          <w:tcPr>
            <w:tcW w:w="613" w:type="pct"/>
          </w:tcPr>
          <w:p w14:paraId="5CF8809B"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rPr>
            </w:pPr>
            <w:r w:rsidRPr="00465F15">
              <w:rPr>
                <w:sz w:val="18"/>
                <w:szCs w:val="18"/>
              </w:rPr>
              <w:t>Local financial regulation specialist (local consultant)</w:t>
            </w:r>
          </w:p>
        </w:tc>
        <w:tc>
          <w:tcPr>
            <w:tcW w:w="842" w:type="pct"/>
          </w:tcPr>
          <w:p w14:paraId="446AA814"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rPr>
            </w:pPr>
            <w:r w:rsidRPr="00465F15">
              <w:rPr>
                <w:sz w:val="18"/>
                <w:szCs w:val="18"/>
              </w:rPr>
              <w:t>Output 2.2.6. Sectorial strategic frameworks or associated plans developed.</w:t>
            </w:r>
          </w:p>
          <w:p w14:paraId="4ABEE513" w14:textId="0C441C71"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rPr>
            </w:pPr>
            <w:r w:rsidRPr="00465F15">
              <w:rPr>
                <w:sz w:val="18"/>
                <w:szCs w:val="18"/>
              </w:rPr>
              <w:lastRenderedPageBreak/>
              <w:t xml:space="preserve">Output 5.1.1. NDAs, DAEs, DPs have developed knowledge products containing information on LECRD, methodologies, lessons </w:t>
            </w:r>
            <w:r w:rsidR="002271B1" w:rsidRPr="00465F15">
              <w:rPr>
                <w:sz w:val="18"/>
                <w:szCs w:val="18"/>
              </w:rPr>
              <w:t>learned,</w:t>
            </w:r>
            <w:r w:rsidRPr="00465F15">
              <w:rPr>
                <w:sz w:val="18"/>
                <w:szCs w:val="18"/>
              </w:rPr>
              <w:t xml:space="preserve"> or best practices extracted from within the country and from other countries (South-South cooperation)</w:t>
            </w:r>
          </w:p>
        </w:tc>
        <w:tc>
          <w:tcPr>
            <w:tcW w:w="1642" w:type="pct"/>
          </w:tcPr>
          <w:p w14:paraId="1866F3A1" w14:textId="31D11296"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lastRenderedPageBreak/>
              <w:t>Development of recommendations for regulatory incentives to promote green lending (Activity 2.2.6.1.</w:t>
            </w:r>
            <w:r w:rsidR="00465F15" w:rsidRPr="00465F15">
              <w:rPr>
                <w:sz w:val="18"/>
                <w:szCs w:val="18"/>
                <w:lang w:val="en-GB" w:eastAsia="zh-CN"/>
              </w:rPr>
              <w:t>b</w:t>
            </w:r>
            <w:r w:rsidRPr="00465F15">
              <w:rPr>
                <w:sz w:val="18"/>
                <w:szCs w:val="18"/>
                <w:lang w:val="en-GB" w:eastAsia="zh-CN"/>
              </w:rPr>
              <w:t>.):</w:t>
            </w:r>
          </w:p>
          <w:p w14:paraId="409D2647"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lastRenderedPageBreak/>
              <w:t xml:space="preserve">a. </w:t>
            </w:r>
            <w:proofErr w:type="gramStart"/>
            <w:r w:rsidRPr="00465F15">
              <w:rPr>
                <w:sz w:val="18"/>
                <w:szCs w:val="18"/>
                <w:lang w:val="en-GB" w:eastAsia="zh-CN"/>
              </w:rPr>
              <w:t>provide</w:t>
            </w:r>
            <w:proofErr w:type="gramEnd"/>
            <w:r w:rsidRPr="00465F15">
              <w:rPr>
                <w:sz w:val="18"/>
                <w:szCs w:val="18"/>
                <w:lang w:val="en-GB" w:eastAsia="zh-CN"/>
              </w:rPr>
              <w:t xml:space="preserve"> inputs to the review of existing global practices of applying regulatory incentives to promote green lending.</w:t>
            </w:r>
          </w:p>
          <w:p w14:paraId="67D253DF"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t xml:space="preserve">b. </w:t>
            </w:r>
            <w:proofErr w:type="gramStart"/>
            <w:r w:rsidRPr="00465F15">
              <w:rPr>
                <w:sz w:val="18"/>
                <w:szCs w:val="18"/>
                <w:lang w:val="en-GB" w:eastAsia="zh-CN"/>
              </w:rPr>
              <w:t>provide</w:t>
            </w:r>
            <w:proofErr w:type="gramEnd"/>
            <w:r w:rsidRPr="00465F15">
              <w:rPr>
                <w:sz w:val="18"/>
                <w:szCs w:val="18"/>
                <w:lang w:val="en-GB" w:eastAsia="zh-CN"/>
              </w:rPr>
              <w:t xml:space="preserve"> inputs to the development of recommendations on suitable options in the national context.</w:t>
            </w:r>
          </w:p>
          <w:p w14:paraId="0AE8894D"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t>c. provide inputs to the development of a business case for selected options to incentivize green lending.</w:t>
            </w:r>
          </w:p>
          <w:p w14:paraId="15E8090C"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t>d. develop the capacity building materials on the developed recommendations and business case.</w:t>
            </w:r>
          </w:p>
          <w:p w14:paraId="01AFBC13"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t>e. ensure capacity building delivery.</w:t>
            </w:r>
          </w:p>
          <w:p w14:paraId="4DCEC68B"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t>Analysis of available derisking solutions for green financial products (Activity 5.1.1.2.d):</w:t>
            </w:r>
          </w:p>
          <w:p w14:paraId="10A3B1B2"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t>a. provide inputs to the analysis of existing tools on the national market and development of recommendations for improvements of existing or designing new derisking solutions based on benchmarks</w:t>
            </w:r>
          </w:p>
          <w:p w14:paraId="72E4B30E"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t>b. develop of the capacity building materials on the developed recommendations.</w:t>
            </w:r>
          </w:p>
          <w:p w14:paraId="4AB62588" w14:textId="77777777" w:rsidR="00D83760" w:rsidRPr="00465F1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65F15">
              <w:rPr>
                <w:sz w:val="18"/>
                <w:szCs w:val="18"/>
                <w:lang w:val="en-GB" w:eastAsia="zh-CN"/>
              </w:rPr>
              <w:t>c. ensure capacity building delivery.</w:t>
            </w:r>
          </w:p>
        </w:tc>
        <w:tc>
          <w:tcPr>
            <w:tcW w:w="1194" w:type="pct"/>
          </w:tcPr>
          <w:p w14:paraId="48CABF94" w14:textId="77777777" w:rsidR="00D83760" w:rsidRPr="00465F15" w:rsidRDefault="00D8376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465F15">
              <w:rPr>
                <w:sz w:val="18"/>
                <w:szCs w:val="18"/>
              </w:rPr>
              <w:lastRenderedPageBreak/>
              <w:t>Higher degree in finance, economic or social science studies or another relevant field</w:t>
            </w:r>
          </w:p>
          <w:p w14:paraId="25245D32" w14:textId="6A3C5D52" w:rsidR="00D83760" w:rsidRPr="00465F15"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465F15">
              <w:rPr>
                <w:sz w:val="18"/>
                <w:szCs w:val="18"/>
              </w:rPr>
              <w:t xml:space="preserve">Several years of experience in private or </w:t>
            </w:r>
            <w:r w:rsidR="0046394C" w:rsidRPr="00465F15">
              <w:rPr>
                <w:sz w:val="18"/>
                <w:szCs w:val="18"/>
              </w:rPr>
              <w:t>state-owned</w:t>
            </w:r>
            <w:r w:rsidRPr="00465F15">
              <w:rPr>
                <w:sz w:val="18"/>
                <w:szCs w:val="18"/>
              </w:rPr>
              <w:t xml:space="preserve"> financial </w:t>
            </w:r>
            <w:r w:rsidRPr="00465F15">
              <w:rPr>
                <w:sz w:val="18"/>
                <w:szCs w:val="18"/>
              </w:rPr>
              <w:lastRenderedPageBreak/>
              <w:t xml:space="preserve">institution (banking, microcredit) on senior level </w:t>
            </w:r>
          </w:p>
          <w:p w14:paraId="7F180520" w14:textId="77777777" w:rsidR="00D83760" w:rsidRPr="00465F15"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465F15">
              <w:rPr>
                <w:sz w:val="18"/>
                <w:szCs w:val="18"/>
              </w:rPr>
              <w:t>Professional knowledge of national financial regulatory framework (financial supervision methodology, reporting)</w:t>
            </w:r>
          </w:p>
          <w:p w14:paraId="5789A525" w14:textId="77777777" w:rsidR="00D83760" w:rsidRPr="00465F15"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465F15">
              <w:rPr>
                <w:sz w:val="18"/>
                <w:szCs w:val="18"/>
              </w:rPr>
              <w:t>Several years of experience with ESG principles application</w:t>
            </w:r>
          </w:p>
          <w:p w14:paraId="5691547B" w14:textId="77777777" w:rsidR="00D83760" w:rsidRPr="00465F15" w:rsidRDefault="00D83760" w:rsidP="00163FD5">
            <w:pPr>
              <w:pStyle w:val="ListParagraph"/>
              <w:numPr>
                <w:ilvl w:val="0"/>
                <w:numId w:val="27"/>
              </w:num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r w:rsidRPr="00465F15">
              <w:rPr>
                <w:sz w:val="18"/>
                <w:szCs w:val="18"/>
              </w:rPr>
              <w:t>Experience in capacity development</w:t>
            </w:r>
          </w:p>
        </w:tc>
        <w:tc>
          <w:tcPr>
            <w:tcW w:w="324" w:type="pct"/>
          </w:tcPr>
          <w:p w14:paraId="2062DCEF" w14:textId="29C2293E" w:rsidR="00D83760" w:rsidRPr="00465F15" w:rsidRDefault="79E9A505">
            <w:pPr>
              <w:cnfStyle w:val="000000100000" w:firstRow="0" w:lastRow="0" w:firstColumn="0" w:lastColumn="0" w:oddVBand="0" w:evenVBand="0" w:oddHBand="1" w:evenHBand="0" w:firstRowFirstColumn="0" w:firstRowLastColumn="0" w:lastRowFirstColumn="0" w:lastRowLastColumn="0"/>
            </w:pPr>
            <w:r w:rsidRPr="49A77A39">
              <w:rPr>
                <w:sz w:val="18"/>
                <w:szCs w:val="18"/>
              </w:rPr>
              <w:lastRenderedPageBreak/>
              <w:t>O</w:t>
            </w:r>
          </w:p>
        </w:tc>
      </w:tr>
      <w:tr w:rsidR="005F6709" w:rsidRPr="00450B52" w14:paraId="4916FEC8" w14:textId="77777777" w:rsidTr="00F80EF7">
        <w:tc>
          <w:tcPr>
            <w:cnfStyle w:val="001000000000" w:firstRow="0" w:lastRow="0" w:firstColumn="1" w:lastColumn="0" w:oddVBand="0" w:evenVBand="0" w:oddHBand="0" w:evenHBand="0" w:firstRowFirstColumn="0" w:firstRowLastColumn="0" w:lastRowFirstColumn="0" w:lastRowLastColumn="0"/>
            <w:tcW w:w="385" w:type="pct"/>
          </w:tcPr>
          <w:p w14:paraId="2D8F6ED5" w14:textId="4D487B18" w:rsidR="005F6709" w:rsidRDefault="005F6709">
            <w:pPr>
              <w:rPr>
                <w:color w:val="808080" w:themeColor="background1" w:themeShade="80"/>
                <w:sz w:val="18"/>
                <w:szCs w:val="18"/>
              </w:rPr>
            </w:pPr>
            <w:r>
              <w:rPr>
                <w:color w:val="808080" w:themeColor="background1" w:themeShade="80"/>
                <w:sz w:val="18"/>
                <w:szCs w:val="18"/>
              </w:rPr>
              <w:t>DP</w:t>
            </w:r>
          </w:p>
        </w:tc>
        <w:tc>
          <w:tcPr>
            <w:tcW w:w="613" w:type="pct"/>
          </w:tcPr>
          <w:p w14:paraId="729BBD77" w14:textId="6EFD4486" w:rsidR="005F6709" w:rsidRPr="00791E01" w:rsidRDefault="005F6709">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5F3010">
              <w:rPr>
                <w:sz w:val="18"/>
                <w:szCs w:val="18"/>
                <w:lang w:val="en-GB" w:eastAsia="zh-CN"/>
              </w:rPr>
              <w:t>Professional services - Firm</w:t>
            </w:r>
          </w:p>
        </w:tc>
        <w:tc>
          <w:tcPr>
            <w:tcW w:w="842" w:type="pct"/>
          </w:tcPr>
          <w:p w14:paraId="5BC06122" w14:textId="568046E7" w:rsidR="005F6709" w:rsidRPr="00771EFC" w:rsidRDefault="005F6709">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940476">
              <w:rPr>
                <w:sz w:val="18"/>
                <w:szCs w:val="18"/>
              </w:rPr>
              <w:t>Output 2.4.1. New business models incubated and/or innovative financial mechanisms and schemes created to increase low -emission and climate resilient investment.</w:t>
            </w:r>
          </w:p>
        </w:tc>
        <w:tc>
          <w:tcPr>
            <w:tcW w:w="1642" w:type="pct"/>
          </w:tcPr>
          <w:p w14:paraId="603A4FAC" w14:textId="77777777" w:rsidR="005F6709" w:rsidRPr="00940476" w:rsidRDefault="005F6709">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940476">
              <w:rPr>
                <w:sz w:val="18"/>
                <w:szCs w:val="18"/>
                <w:lang w:val="en-GB" w:eastAsia="zh-CN"/>
              </w:rPr>
              <w:t>Piloting 3 sectoral financial products/programs (Activity 2.4.1.1.a.) – Scope of Work:</w:t>
            </w:r>
          </w:p>
          <w:p w14:paraId="45812163" w14:textId="32B92045" w:rsidR="00683732" w:rsidRPr="000A25A9" w:rsidRDefault="00683732" w:rsidP="00683732">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940476">
              <w:rPr>
                <w:sz w:val="18"/>
                <w:szCs w:val="18"/>
                <w:lang w:val="en-GB" w:eastAsia="zh-CN"/>
              </w:rPr>
              <w:t xml:space="preserve">a. conduct three feasibility studies (designed financial products), including economic analysis and modelling of expected typical projects, and predictive analysis of </w:t>
            </w:r>
            <w:r w:rsidR="00680860">
              <w:rPr>
                <w:sz w:val="18"/>
                <w:szCs w:val="18"/>
                <w:lang w:val="en-GB" w:eastAsia="zh-CN"/>
              </w:rPr>
              <w:t xml:space="preserve">environmental and social </w:t>
            </w:r>
            <w:r w:rsidRPr="00940476">
              <w:rPr>
                <w:sz w:val="18"/>
                <w:szCs w:val="18"/>
                <w:lang w:val="en-GB" w:eastAsia="zh-CN"/>
              </w:rPr>
              <w:t>risks and risk mitigation measures</w:t>
            </w:r>
            <w:r w:rsidR="008F013E">
              <w:rPr>
                <w:sz w:val="18"/>
                <w:szCs w:val="18"/>
                <w:lang w:val="en-GB" w:eastAsia="zh-CN"/>
              </w:rPr>
              <w:t xml:space="preserve"> as per UNDP SES and GCF ESS</w:t>
            </w:r>
            <w:r w:rsidRPr="00940476">
              <w:rPr>
                <w:sz w:val="18"/>
                <w:szCs w:val="18"/>
                <w:lang w:val="en-GB" w:eastAsia="zh-CN"/>
              </w:rPr>
              <w:t>,</w:t>
            </w:r>
            <w:r w:rsidR="00E85802" w:rsidRPr="00CA1FF2">
              <w:rPr>
                <w:sz w:val="18"/>
                <w:szCs w:val="18"/>
                <w:lang w:val="en-GB" w:eastAsia="zh-CN"/>
              </w:rPr>
              <w:t xml:space="preserve"> </w:t>
            </w:r>
            <w:r w:rsidR="002F6BBD">
              <w:rPr>
                <w:sz w:val="18"/>
                <w:szCs w:val="18"/>
                <w:lang w:val="en-GB" w:eastAsia="zh-CN"/>
              </w:rPr>
              <w:t xml:space="preserve">including social and environmental </w:t>
            </w:r>
            <w:r w:rsidR="00D24EFF">
              <w:rPr>
                <w:sz w:val="18"/>
                <w:szCs w:val="18"/>
                <w:lang w:val="en-GB" w:eastAsia="zh-CN"/>
              </w:rPr>
              <w:t>screening reports,</w:t>
            </w:r>
            <w:r w:rsidRPr="00940476">
              <w:rPr>
                <w:sz w:val="18"/>
                <w:szCs w:val="18"/>
                <w:lang w:val="en-GB" w:eastAsia="zh-CN"/>
              </w:rPr>
              <w:t xml:space="preserve"> as well as optimization of</w:t>
            </w:r>
            <w:r w:rsidRPr="00683732">
              <w:rPr>
                <w:sz w:val="18"/>
                <w:szCs w:val="18"/>
                <w:lang w:val="en-GB" w:eastAsia="zh-CN"/>
              </w:rPr>
              <w:t xml:space="preserve"> the financial products and cross-selling of other financial products within the product range of selected </w:t>
            </w:r>
            <w:r>
              <w:rPr>
                <w:sz w:val="18"/>
                <w:szCs w:val="18"/>
                <w:lang w:val="en-GB" w:eastAsia="zh-CN"/>
              </w:rPr>
              <w:t>financial institution</w:t>
            </w:r>
            <w:r w:rsidRPr="00683732">
              <w:rPr>
                <w:sz w:val="18"/>
                <w:szCs w:val="18"/>
                <w:lang w:val="en-GB" w:eastAsia="zh-CN"/>
              </w:rPr>
              <w:t>s</w:t>
            </w:r>
            <w:r w:rsidR="00A674B1">
              <w:rPr>
                <w:sz w:val="18"/>
                <w:szCs w:val="18"/>
                <w:lang w:val="en-GB" w:eastAsia="zh-CN"/>
              </w:rPr>
              <w:t>.</w:t>
            </w:r>
          </w:p>
          <w:p w14:paraId="05EAAEE8" w14:textId="595A1B77" w:rsidR="00683732" w:rsidRPr="00683732" w:rsidRDefault="00683732" w:rsidP="00683732">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Pr>
                <w:sz w:val="18"/>
                <w:szCs w:val="18"/>
                <w:lang w:val="en-GB" w:eastAsia="zh-CN"/>
              </w:rPr>
              <w:t>b. conduct three</w:t>
            </w:r>
            <w:r w:rsidRPr="00683732">
              <w:rPr>
                <w:sz w:val="18"/>
                <w:szCs w:val="18"/>
                <w:lang w:val="en-GB" w:eastAsia="zh-CN"/>
              </w:rPr>
              <w:t xml:space="preserve"> pilots (support to borrowers in designing and submission to the targeted </w:t>
            </w:r>
            <w:r w:rsidR="00A854B6">
              <w:rPr>
                <w:sz w:val="18"/>
                <w:szCs w:val="18"/>
                <w:lang w:val="en-GB" w:eastAsia="zh-CN"/>
              </w:rPr>
              <w:t xml:space="preserve">financial </w:t>
            </w:r>
            <w:r w:rsidR="00A854B6">
              <w:rPr>
                <w:sz w:val="18"/>
                <w:szCs w:val="18"/>
                <w:lang w:val="en-GB" w:eastAsia="zh-CN"/>
              </w:rPr>
              <w:lastRenderedPageBreak/>
              <w:t>institutions</w:t>
            </w:r>
            <w:r w:rsidRPr="00683732">
              <w:rPr>
                <w:sz w:val="18"/>
                <w:szCs w:val="18"/>
                <w:lang w:val="en-GB" w:eastAsia="zh-CN"/>
              </w:rPr>
              <w:t xml:space="preserve">), including economic analysis, modelling, mitigation / adaptation potential evaluation, evaluation of green taxonomy compliance, in close co-operation with the representatives of the </w:t>
            </w:r>
            <w:r w:rsidR="00A854B6">
              <w:rPr>
                <w:sz w:val="18"/>
                <w:szCs w:val="18"/>
                <w:lang w:val="en-GB" w:eastAsia="zh-CN"/>
              </w:rPr>
              <w:t>financial institution</w:t>
            </w:r>
            <w:r w:rsidRPr="00683732">
              <w:rPr>
                <w:sz w:val="18"/>
                <w:szCs w:val="18"/>
                <w:lang w:val="en-GB" w:eastAsia="zh-CN"/>
              </w:rPr>
              <w:t>s, as an on-job training</w:t>
            </w:r>
            <w:r>
              <w:rPr>
                <w:sz w:val="18"/>
                <w:szCs w:val="18"/>
                <w:lang w:val="en-GB" w:eastAsia="zh-CN"/>
              </w:rPr>
              <w:t>.</w:t>
            </w:r>
          </w:p>
          <w:p w14:paraId="1744A8E4" w14:textId="3F321021" w:rsidR="00683732" w:rsidRPr="00683732" w:rsidRDefault="00683732" w:rsidP="00683732">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Pr>
                <w:sz w:val="18"/>
                <w:szCs w:val="18"/>
                <w:lang w:val="en-GB" w:eastAsia="zh-CN"/>
              </w:rPr>
              <w:t xml:space="preserve">c. develop three </w:t>
            </w:r>
            <w:r w:rsidRPr="00683732">
              <w:rPr>
                <w:sz w:val="18"/>
                <w:szCs w:val="18"/>
                <w:lang w:val="en-GB" w:eastAsia="zh-CN"/>
              </w:rPr>
              <w:t>sets of training materials on developed products, with the potential to disseminate the training materials for a large number of potential users, fixing lessons learned and general tips for the FIs sector.</w:t>
            </w:r>
          </w:p>
          <w:p w14:paraId="7E5B4C8F" w14:textId="163A5DFF" w:rsidR="005F6709" w:rsidRPr="00883BC2" w:rsidRDefault="00683732" w:rsidP="00683732">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Pr>
                <w:sz w:val="18"/>
                <w:szCs w:val="18"/>
                <w:lang w:val="en-GB" w:eastAsia="zh-CN"/>
              </w:rPr>
              <w:t xml:space="preserve">d. conduct three </w:t>
            </w:r>
            <w:r w:rsidRPr="00683732">
              <w:rPr>
                <w:sz w:val="18"/>
                <w:szCs w:val="18"/>
                <w:lang w:val="en-GB" w:eastAsia="zh-CN"/>
              </w:rPr>
              <w:t>sets trainings for the management and relevant departments of the targeted Fis (front, back), video records of the trainings for the re-using by the FI community.</w:t>
            </w:r>
          </w:p>
        </w:tc>
        <w:tc>
          <w:tcPr>
            <w:tcW w:w="1194" w:type="pct"/>
          </w:tcPr>
          <w:p w14:paraId="2D915F54" w14:textId="77777777" w:rsidR="005F6709" w:rsidRDefault="005F6709" w:rsidP="005F670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Key qualifications of </w:t>
            </w:r>
            <w:r w:rsidRPr="004F5B02">
              <w:rPr>
                <w:sz w:val="18"/>
                <w:szCs w:val="18"/>
              </w:rPr>
              <w:t>a firm/key personnel:</w:t>
            </w:r>
          </w:p>
          <w:p w14:paraId="47A6CFA9" w14:textId="77777777" w:rsidR="00683732" w:rsidRDefault="0068373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Knowledge of the regional/national financial institutional contexts</w:t>
            </w:r>
          </w:p>
          <w:p w14:paraId="23F5A0B7" w14:textId="4C3C3EFC" w:rsidR="00327BBD" w:rsidRDefault="00327BBD"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Advisory experience of public and private financial institutions in developing and marketing financial products/services/programmes</w:t>
            </w:r>
          </w:p>
          <w:p w14:paraId="7D4391AD" w14:textId="502BBB85" w:rsidR="00F305B8" w:rsidRDefault="00F305B8"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Advisory experience to private sector in developing financing applications for green credit products</w:t>
            </w:r>
          </w:p>
          <w:p w14:paraId="106715C0" w14:textId="2CB6FDAF" w:rsidR="00A942CE" w:rsidRPr="00F305B8" w:rsidRDefault="00A942CE"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Proven knowledge of international green finance frameworks and </w:t>
            </w:r>
            <w:r w:rsidR="00801A6C">
              <w:rPr>
                <w:sz w:val="18"/>
                <w:szCs w:val="18"/>
              </w:rPr>
              <w:t>ESS</w:t>
            </w:r>
            <w:r w:rsidR="00C703EA">
              <w:rPr>
                <w:sz w:val="18"/>
                <w:szCs w:val="18"/>
              </w:rPr>
              <w:t xml:space="preserve"> screening</w:t>
            </w:r>
            <w:r>
              <w:rPr>
                <w:sz w:val="18"/>
                <w:szCs w:val="18"/>
              </w:rPr>
              <w:t xml:space="preserve"> </w:t>
            </w:r>
            <w:r w:rsidR="003224AB">
              <w:rPr>
                <w:sz w:val="18"/>
                <w:szCs w:val="18"/>
              </w:rPr>
              <w:t xml:space="preserve">methodologies </w:t>
            </w:r>
            <w:r w:rsidR="006B04B3">
              <w:rPr>
                <w:sz w:val="18"/>
                <w:szCs w:val="18"/>
              </w:rPr>
              <w:t>(e.g. UNDP, WB, GBI)</w:t>
            </w:r>
          </w:p>
          <w:p w14:paraId="377FC6AD" w14:textId="77777777" w:rsidR="005F6709" w:rsidRDefault="0068373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Sectoral expertise as required by the developed green taxonomy of the Kyrgyz Republic</w:t>
            </w:r>
          </w:p>
          <w:p w14:paraId="0F9509C8" w14:textId="10B5F461" w:rsidR="00F305B8" w:rsidRPr="00F305B8" w:rsidRDefault="00F305B8"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Experience in development capacity building materials and training provision</w:t>
            </w:r>
          </w:p>
        </w:tc>
        <w:tc>
          <w:tcPr>
            <w:tcW w:w="324" w:type="pct"/>
          </w:tcPr>
          <w:p w14:paraId="63A4ECA2" w14:textId="510835E9" w:rsidR="005F6709" w:rsidRPr="00302222" w:rsidRDefault="184B320E">
            <w:pPr>
              <w:cnfStyle w:val="000000000000" w:firstRow="0" w:lastRow="0" w:firstColumn="0" w:lastColumn="0" w:oddVBand="0" w:evenVBand="0" w:oddHBand="0" w:evenHBand="0" w:firstRowFirstColumn="0" w:firstRowLastColumn="0" w:lastRowFirstColumn="0" w:lastRowLastColumn="0"/>
              <w:rPr>
                <w:sz w:val="18"/>
                <w:szCs w:val="18"/>
              </w:rPr>
            </w:pPr>
            <w:r w:rsidRPr="49A77A39">
              <w:rPr>
                <w:sz w:val="18"/>
                <w:szCs w:val="18"/>
              </w:rPr>
              <w:lastRenderedPageBreak/>
              <w:t>Q</w:t>
            </w:r>
          </w:p>
        </w:tc>
      </w:tr>
      <w:tr w:rsidR="00552AA8" w:rsidRPr="00450B52" w14:paraId="6EF3099D"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1A79696E" w14:textId="2263AE5C" w:rsidR="00552AA8" w:rsidRDefault="00552AA8">
            <w:pPr>
              <w:rPr>
                <w:color w:val="808080" w:themeColor="background1" w:themeShade="80"/>
                <w:sz w:val="18"/>
                <w:szCs w:val="18"/>
              </w:rPr>
            </w:pPr>
            <w:r>
              <w:rPr>
                <w:color w:val="808080" w:themeColor="background1" w:themeShade="80"/>
                <w:sz w:val="18"/>
                <w:szCs w:val="18"/>
              </w:rPr>
              <w:t>DP</w:t>
            </w:r>
          </w:p>
        </w:tc>
        <w:tc>
          <w:tcPr>
            <w:tcW w:w="613" w:type="pct"/>
          </w:tcPr>
          <w:p w14:paraId="3ECE4EE4" w14:textId="756DE582" w:rsidR="00552AA8" w:rsidRPr="005F3010" w:rsidRDefault="00552AA8">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bookmarkStart w:id="12" w:name="OLE_LINK2"/>
            <w:r>
              <w:rPr>
                <w:sz w:val="18"/>
                <w:szCs w:val="18"/>
                <w:lang w:val="en-GB" w:eastAsia="zh-CN"/>
              </w:rPr>
              <w:t>International specialist</w:t>
            </w:r>
            <w:r w:rsidR="002D6A02">
              <w:rPr>
                <w:sz w:val="18"/>
                <w:szCs w:val="18"/>
                <w:lang w:val="en-GB" w:eastAsia="zh-CN"/>
              </w:rPr>
              <w:t xml:space="preserve"> in</w:t>
            </w:r>
            <w:r w:rsidR="00F404B8">
              <w:rPr>
                <w:sz w:val="18"/>
                <w:szCs w:val="18"/>
                <w:lang w:val="en-GB" w:eastAsia="zh-CN"/>
              </w:rPr>
              <w:t xml:space="preserve"> </w:t>
            </w:r>
            <w:r w:rsidR="008A65DB" w:rsidRPr="008A65DB">
              <w:rPr>
                <w:sz w:val="18"/>
                <w:szCs w:val="18"/>
                <w:lang w:val="en-GB" w:eastAsia="zh-CN"/>
              </w:rPr>
              <w:t xml:space="preserve">green finance resource mobilization </w:t>
            </w:r>
            <w:r w:rsidR="008A65DB" w:rsidRPr="00E109A1">
              <w:rPr>
                <w:sz w:val="18"/>
                <w:szCs w:val="18"/>
              </w:rPr>
              <w:t>(international consultant)</w:t>
            </w:r>
            <w:bookmarkEnd w:id="12"/>
          </w:p>
        </w:tc>
        <w:tc>
          <w:tcPr>
            <w:tcW w:w="842" w:type="pct"/>
          </w:tcPr>
          <w:p w14:paraId="0BB567EF" w14:textId="197862E8" w:rsidR="00552AA8" w:rsidRPr="00940476" w:rsidRDefault="00364680">
            <w:pPr>
              <w:spacing w:after="120"/>
              <w:cnfStyle w:val="000000100000" w:firstRow="0" w:lastRow="0" w:firstColumn="0" w:lastColumn="0" w:oddVBand="0" w:evenVBand="0" w:oddHBand="1" w:evenHBand="0" w:firstRowFirstColumn="0" w:firstRowLastColumn="0" w:lastRowFirstColumn="0" w:lastRowLastColumn="0"/>
              <w:rPr>
                <w:sz w:val="18"/>
                <w:szCs w:val="18"/>
              </w:rPr>
            </w:pPr>
            <w:r w:rsidRPr="00364680">
              <w:rPr>
                <w:sz w:val="18"/>
                <w:szCs w:val="18"/>
              </w:rPr>
              <w:t>Output 4.1.1. Concept notes for priority sectors developed with the support of the RPSP for submission to the GCF.</w:t>
            </w:r>
          </w:p>
        </w:tc>
        <w:tc>
          <w:tcPr>
            <w:tcW w:w="1642" w:type="pct"/>
          </w:tcPr>
          <w:p w14:paraId="1BF3279D" w14:textId="5B130338" w:rsidR="00D555DF" w:rsidRDefault="00D555DF" w:rsidP="00D555DF">
            <w:pPr>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D555DF">
              <w:rPr>
                <w:sz w:val="18"/>
                <w:szCs w:val="18"/>
                <w:lang w:val="en-GB" w:eastAsia="zh-CN"/>
              </w:rPr>
              <w:t>Support to NDA and DAE candidate to GCF in formulation a concept note</w:t>
            </w:r>
            <w:r>
              <w:rPr>
                <w:sz w:val="18"/>
                <w:szCs w:val="18"/>
                <w:lang w:val="en-GB" w:eastAsia="zh-CN"/>
              </w:rPr>
              <w:t xml:space="preserve"> (</w:t>
            </w:r>
            <w:r w:rsidRPr="00D555DF">
              <w:rPr>
                <w:sz w:val="18"/>
                <w:szCs w:val="18"/>
                <w:lang w:val="en-GB" w:eastAsia="zh-CN"/>
              </w:rPr>
              <w:t>Activity 4.1.1.1.a.</w:t>
            </w:r>
            <w:r>
              <w:rPr>
                <w:sz w:val="18"/>
                <w:szCs w:val="18"/>
                <w:lang w:val="en-GB" w:eastAsia="zh-CN"/>
              </w:rPr>
              <w:t>)</w:t>
            </w:r>
            <w:r w:rsidR="00F80343">
              <w:rPr>
                <w:sz w:val="18"/>
                <w:szCs w:val="18"/>
                <w:lang w:val="en-GB" w:eastAsia="zh-CN"/>
              </w:rPr>
              <w:t>:</w:t>
            </w:r>
          </w:p>
          <w:p w14:paraId="63A4D7E8" w14:textId="77777777" w:rsidR="00F80343" w:rsidRDefault="00F80343" w:rsidP="00D555DF">
            <w:pPr>
              <w:cnfStyle w:val="000000100000" w:firstRow="0" w:lastRow="0" w:firstColumn="0" w:lastColumn="0" w:oddVBand="0" w:evenVBand="0" w:oddHBand="1" w:evenHBand="0" w:firstRowFirstColumn="0" w:firstRowLastColumn="0" w:lastRowFirstColumn="0" w:lastRowLastColumn="0"/>
              <w:rPr>
                <w:sz w:val="18"/>
                <w:szCs w:val="18"/>
                <w:lang w:val="en-GB" w:eastAsia="zh-CN"/>
              </w:rPr>
            </w:pPr>
          </w:p>
          <w:p w14:paraId="0B6CCA9A" w14:textId="77777777" w:rsidR="00C6303C" w:rsidRDefault="005D212A" w:rsidP="005D212A">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lang w:val="en-GB" w:eastAsia="zh-CN"/>
              </w:rPr>
              <w:t xml:space="preserve">a. </w:t>
            </w:r>
            <w:proofErr w:type="gramStart"/>
            <w:r w:rsidR="0046394C">
              <w:rPr>
                <w:sz w:val="18"/>
                <w:szCs w:val="18"/>
                <w:lang w:val="en-GB" w:eastAsia="zh-CN"/>
              </w:rPr>
              <w:t>c</w:t>
            </w:r>
            <w:r w:rsidRPr="005D212A">
              <w:rPr>
                <w:sz w:val="18"/>
                <w:szCs w:val="18"/>
                <w:lang w:val="en-GB" w:eastAsia="zh-CN"/>
              </w:rPr>
              <w:t>apacitat</w:t>
            </w:r>
            <w:r w:rsidR="0046394C">
              <w:rPr>
                <w:sz w:val="18"/>
                <w:szCs w:val="18"/>
                <w:lang w:val="en-GB" w:eastAsia="zh-CN"/>
              </w:rPr>
              <w:t>e</w:t>
            </w:r>
            <w:proofErr w:type="gramEnd"/>
            <w:r w:rsidRPr="005D212A">
              <w:rPr>
                <w:sz w:val="18"/>
                <w:szCs w:val="18"/>
                <w:lang w:val="en-GB" w:eastAsia="zh-CN"/>
              </w:rPr>
              <w:t xml:space="preserve"> CFC to formulate concept notes for private sector</w:t>
            </w:r>
          </w:p>
          <w:p w14:paraId="4D74FC0A" w14:textId="16E40B25" w:rsidR="005D212A" w:rsidRPr="005D212A" w:rsidRDefault="00C6303C" w:rsidP="005D212A">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lang w:val="en-GB" w:eastAsia="zh-CN"/>
              </w:rPr>
              <w:t>b. prepare documentation</w:t>
            </w:r>
            <w:r w:rsidR="00683D5B">
              <w:rPr>
                <w:sz w:val="18"/>
                <w:szCs w:val="18"/>
                <w:lang w:val="en-GB" w:eastAsia="zh-CN"/>
              </w:rPr>
              <w:t xml:space="preserve">, </w:t>
            </w:r>
            <w:r>
              <w:rPr>
                <w:sz w:val="18"/>
                <w:szCs w:val="18"/>
                <w:lang w:val="en-GB" w:eastAsia="zh-CN"/>
              </w:rPr>
              <w:t>facilitating</w:t>
            </w:r>
            <w:r w:rsidR="00683D5B">
              <w:rPr>
                <w:sz w:val="18"/>
                <w:szCs w:val="18"/>
                <w:lang w:val="en-GB" w:eastAsia="zh-CN"/>
              </w:rPr>
              <w:t xml:space="preserve"> compliance with the GCF ESS</w:t>
            </w:r>
          </w:p>
          <w:p w14:paraId="1BF5E540" w14:textId="7FF623A1" w:rsidR="005D212A" w:rsidRPr="005D212A" w:rsidRDefault="00C6303C" w:rsidP="005D212A">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lang w:val="en-GB" w:eastAsia="zh-CN"/>
              </w:rPr>
              <w:t>c</w:t>
            </w:r>
            <w:r w:rsidR="005D212A">
              <w:rPr>
                <w:sz w:val="18"/>
                <w:szCs w:val="18"/>
                <w:lang w:val="en-GB" w:eastAsia="zh-CN"/>
              </w:rPr>
              <w:t xml:space="preserve">. </w:t>
            </w:r>
            <w:proofErr w:type="gramStart"/>
            <w:r w:rsidR="0046394C">
              <w:rPr>
                <w:sz w:val="18"/>
                <w:szCs w:val="18"/>
                <w:lang w:val="en-GB" w:eastAsia="zh-CN"/>
              </w:rPr>
              <w:t>provide</w:t>
            </w:r>
            <w:proofErr w:type="gramEnd"/>
            <w:r w:rsidR="0046394C">
              <w:rPr>
                <w:sz w:val="18"/>
                <w:szCs w:val="18"/>
                <w:lang w:val="en-GB" w:eastAsia="zh-CN"/>
              </w:rPr>
              <w:t xml:space="preserve"> capacity building to DAE</w:t>
            </w:r>
            <w:r w:rsidR="00A854B6">
              <w:rPr>
                <w:sz w:val="18"/>
                <w:szCs w:val="18"/>
                <w:lang w:val="en-GB" w:eastAsia="zh-CN"/>
              </w:rPr>
              <w:t xml:space="preserve"> candidate</w:t>
            </w:r>
            <w:r w:rsidR="005D212A" w:rsidRPr="005D212A">
              <w:rPr>
                <w:sz w:val="18"/>
                <w:szCs w:val="18"/>
                <w:lang w:val="en-GB" w:eastAsia="zh-CN"/>
              </w:rPr>
              <w:t xml:space="preserve"> </w:t>
            </w:r>
            <w:r w:rsidR="0046394C">
              <w:rPr>
                <w:sz w:val="18"/>
                <w:szCs w:val="18"/>
                <w:lang w:val="en-GB" w:eastAsia="zh-CN"/>
              </w:rPr>
              <w:t xml:space="preserve">for development of a concept note </w:t>
            </w:r>
            <w:r w:rsidR="005D212A" w:rsidRPr="005D212A">
              <w:rPr>
                <w:sz w:val="18"/>
                <w:szCs w:val="18"/>
                <w:lang w:val="en-GB" w:eastAsia="zh-CN"/>
              </w:rPr>
              <w:t>for further submission to GCF</w:t>
            </w:r>
          </w:p>
          <w:p w14:paraId="22C88E7A" w14:textId="4A5F84C3" w:rsidR="005D212A" w:rsidRPr="005D212A" w:rsidRDefault="005D212A" w:rsidP="00D555DF">
            <w:pPr>
              <w:cnfStyle w:val="000000100000" w:firstRow="0" w:lastRow="0" w:firstColumn="0" w:lastColumn="0" w:oddVBand="0" w:evenVBand="0" w:oddHBand="1" w:evenHBand="0" w:firstRowFirstColumn="0" w:firstRowLastColumn="0" w:lastRowFirstColumn="0" w:lastRowLastColumn="0"/>
              <w:rPr>
                <w:sz w:val="18"/>
                <w:szCs w:val="18"/>
                <w:lang w:eastAsia="zh-CN"/>
              </w:rPr>
            </w:pPr>
          </w:p>
          <w:p w14:paraId="4960ECE7" w14:textId="3A0858F0" w:rsidR="00D555DF" w:rsidRPr="00D555DF" w:rsidRDefault="00D555DF" w:rsidP="00D555DF">
            <w:pPr>
              <w:cnfStyle w:val="000000100000" w:firstRow="0" w:lastRow="0" w:firstColumn="0" w:lastColumn="0" w:oddVBand="0" w:evenVBand="0" w:oddHBand="1" w:evenHBand="0" w:firstRowFirstColumn="0" w:firstRowLastColumn="0" w:lastRowFirstColumn="0" w:lastRowLastColumn="0"/>
              <w:rPr>
                <w:sz w:val="18"/>
                <w:szCs w:val="18"/>
                <w:lang w:val="en-GB" w:eastAsia="zh-CN"/>
              </w:rPr>
            </w:pPr>
          </w:p>
        </w:tc>
        <w:tc>
          <w:tcPr>
            <w:tcW w:w="1194" w:type="pct"/>
          </w:tcPr>
          <w:p w14:paraId="3EBDEFC7" w14:textId="2BAC0A8E" w:rsidR="00997457" w:rsidRDefault="00997457" w:rsidP="00163FD5">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sidRPr="00A24277">
              <w:rPr>
                <w:sz w:val="18"/>
                <w:szCs w:val="18"/>
              </w:rPr>
              <w:t xml:space="preserve">Master’s degree in </w:t>
            </w:r>
            <w:r>
              <w:rPr>
                <w:sz w:val="18"/>
                <w:szCs w:val="18"/>
              </w:rPr>
              <w:t xml:space="preserve">finance, </w:t>
            </w:r>
            <w:r w:rsidRPr="00A24277">
              <w:rPr>
                <w:sz w:val="18"/>
                <w:szCs w:val="18"/>
              </w:rPr>
              <w:t xml:space="preserve">economic or social science studies or </w:t>
            </w:r>
            <w:r w:rsidR="007741F4">
              <w:rPr>
                <w:sz w:val="18"/>
                <w:szCs w:val="18"/>
              </w:rPr>
              <w:t xml:space="preserve">natural sciences or </w:t>
            </w:r>
            <w:r w:rsidRPr="00A24277">
              <w:rPr>
                <w:sz w:val="18"/>
                <w:szCs w:val="18"/>
              </w:rPr>
              <w:t>another relevant field</w:t>
            </w:r>
          </w:p>
          <w:p w14:paraId="6CCA9578" w14:textId="021DC215" w:rsidR="00552AA8" w:rsidRDefault="0079328E" w:rsidP="00163FD5">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sidRPr="0079328E">
              <w:rPr>
                <w:sz w:val="18"/>
                <w:szCs w:val="18"/>
              </w:rPr>
              <w:t>At least 5 years of experience in project development, climate finance</w:t>
            </w:r>
            <w:r w:rsidR="002F6343">
              <w:rPr>
                <w:sz w:val="18"/>
                <w:szCs w:val="18"/>
              </w:rPr>
              <w:t>, including for private financial institutions</w:t>
            </w:r>
            <w:r w:rsidRPr="0079328E">
              <w:rPr>
                <w:sz w:val="18"/>
                <w:szCs w:val="18"/>
              </w:rPr>
              <w:t>, working with international climate funds such as GCF</w:t>
            </w:r>
          </w:p>
          <w:p w14:paraId="269FCBE3" w14:textId="4AAB4099" w:rsidR="0079328E" w:rsidRDefault="0079328E" w:rsidP="00163FD5">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sidRPr="0079328E">
              <w:rPr>
                <w:sz w:val="18"/>
                <w:szCs w:val="18"/>
              </w:rPr>
              <w:t>Strong knowledge of GCF requirements, including project preparation, submission processes, and stakeholder engagement</w:t>
            </w:r>
          </w:p>
          <w:p w14:paraId="340D37E2" w14:textId="29AD6BFF" w:rsidR="00BB35FB" w:rsidRDefault="00BB35FB" w:rsidP="00BB35FB">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Strong knowledge of </w:t>
            </w:r>
            <w:r w:rsidR="00C703EA">
              <w:rPr>
                <w:sz w:val="18"/>
                <w:szCs w:val="18"/>
              </w:rPr>
              <w:t>ESS assessment</w:t>
            </w:r>
            <w:r>
              <w:rPr>
                <w:sz w:val="18"/>
                <w:szCs w:val="18"/>
              </w:rPr>
              <w:t xml:space="preserve"> frameworks, including the GCF ESS</w:t>
            </w:r>
          </w:p>
          <w:p w14:paraId="266D32C9" w14:textId="7C9E10B6" w:rsidR="0079328E" w:rsidRPr="00997457" w:rsidRDefault="00643962" w:rsidP="00163FD5">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18"/>
                <w:szCs w:val="18"/>
              </w:rPr>
            </w:pPr>
            <w:r w:rsidRPr="00643962">
              <w:rPr>
                <w:sz w:val="18"/>
                <w:szCs w:val="18"/>
              </w:rPr>
              <w:t>Proven ability to conduct capacity-building workshops, develop training materials, and mentor stakeholders on climate finance-related topics</w:t>
            </w:r>
          </w:p>
        </w:tc>
        <w:tc>
          <w:tcPr>
            <w:tcW w:w="324" w:type="pct"/>
          </w:tcPr>
          <w:p w14:paraId="46420CD4" w14:textId="293B2448" w:rsidR="00552AA8" w:rsidRDefault="1166A243">
            <w:pPr>
              <w:cnfStyle w:val="000000100000" w:firstRow="0" w:lastRow="0" w:firstColumn="0" w:lastColumn="0" w:oddVBand="0" w:evenVBand="0" w:oddHBand="1" w:evenHBand="0" w:firstRowFirstColumn="0" w:firstRowLastColumn="0" w:lastRowFirstColumn="0" w:lastRowLastColumn="0"/>
              <w:rPr>
                <w:sz w:val="18"/>
                <w:szCs w:val="18"/>
              </w:rPr>
            </w:pPr>
            <w:r w:rsidRPr="49A77A39">
              <w:rPr>
                <w:sz w:val="18"/>
                <w:szCs w:val="18"/>
              </w:rPr>
              <w:t>R</w:t>
            </w:r>
          </w:p>
        </w:tc>
      </w:tr>
      <w:tr w:rsidR="00D83760" w:rsidRPr="00450B52" w14:paraId="4266D92D" w14:textId="77777777" w:rsidTr="00F80EF7">
        <w:tc>
          <w:tcPr>
            <w:cnfStyle w:val="001000000000" w:firstRow="0" w:lastRow="0" w:firstColumn="1" w:lastColumn="0" w:oddVBand="0" w:evenVBand="0" w:oddHBand="0" w:evenHBand="0" w:firstRowFirstColumn="0" w:firstRowLastColumn="0" w:lastRowFirstColumn="0" w:lastRowLastColumn="0"/>
            <w:tcW w:w="385" w:type="pct"/>
          </w:tcPr>
          <w:p w14:paraId="409CA624" w14:textId="77777777" w:rsidR="00D83760" w:rsidRDefault="00D83760">
            <w:pPr>
              <w:rPr>
                <w:color w:val="808080" w:themeColor="background1" w:themeShade="80"/>
                <w:sz w:val="18"/>
                <w:szCs w:val="18"/>
              </w:rPr>
            </w:pPr>
            <w:r>
              <w:rPr>
                <w:color w:val="808080" w:themeColor="background1" w:themeShade="80"/>
                <w:sz w:val="18"/>
                <w:szCs w:val="18"/>
              </w:rPr>
              <w:lastRenderedPageBreak/>
              <w:t>DP</w:t>
            </w:r>
          </w:p>
        </w:tc>
        <w:tc>
          <w:tcPr>
            <w:tcW w:w="613" w:type="pct"/>
          </w:tcPr>
          <w:p w14:paraId="549E869F" w14:textId="77777777" w:rsidR="00D83760" w:rsidRPr="00791E01"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E109A1">
              <w:rPr>
                <w:sz w:val="18"/>
                <w:szCs w:val="18"/>
              </w:rPr>
              <w:t>International specialist in partnerships with global green finance funds (international consultant)</w:t>
            </w:r>
          </w:p>
        </w:tc>
        <w:tc>
          <w:tcPr>
            <w:tcW w:w="842" w:type="pct"/>
          </w:tcPr>
          <w:p w14:paraId="609F6FE8" w14:textId="77777777" w:rsidR="00D83760" w:rsidRPr="002D58AD"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rPr>
            </w:pPr>
            <w:r w:rsidRPr="002D58AD">
              <w:rPr>
                <w:sz w:val="18"/>
                <w:szCs w:val="18"/>
              </w:rPr>
              <w:t>Output 5.1.1. NDAs, DAEs, DPs have developed knowledge products containing information on LECRD, methodologies, lessons learned or best practices extracted from within the country and from other countries (South-South cooperation)</w:t>
            </w:r>
          </w:p>
        </w:tc>
        <w:tc>
          <w:tcPr>
            <w:tcW w:w="1642" w:type="pct"/>
          </w:tcPr>
          <w:p w14:paraId="5F94F191" w14:textId="77777777" w:rsidR="00D83760" w:rsidRPr="002D58AD"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2D58AD">
              <w:rPr>
                <w:sz w:val="18"/>
                <w:szCs w:val="18"/>
                <w:lang w:val="en-GB" w:eastAsia="zh-CN"/>
              </w:rPr>
              <w:t>Develop mapping and guidelines for mobilizing resources from relevant global green institutions (Activity 5.1.1.2.a.):</w:t>
            </w:r>
          </w:p>
          <w:p w14:paraId="70044328" w14:textId="77777777" w:rsidR="00D83760" w:rsidRPr="002D58AD"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2D58AD">
              <w:rPr>
                <w:sz w:val="18"/>
                <w:szCs w:val="18"/>
                <w:lang w:val="en-GB" w:eastAsia="zh-CN"/>
              </w:rPr>
              <w:t>a. lead mapping of relevant sources of green financing, relevant to the national context.</w:t>
            </w:r>
          </w:p>
          <w:p w14:paraId="6E913C8E" w14:textId="77777777" w:rsidR="00D83760" w:rsidRPr="002D58AD"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2D58AD">
              <w:rPr>
                <w:sz w:val="18"/>
                <w:szCs w:val="18"/>
                <w:lang w:val="en-GB" w:eastAsia="zh-CN"/>
              </w:rPr>
              <w:t>b. lead the desk review of the national financial institutions.</w:t>
            </w:r>
          </w:p>
          <w:p w14:paraId="54CD0A7F" w14:textId="77777777" w:rsidR="00D83760" w:rsidRPr="002D58AD"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2D58AD">
              <w:rPr>
                <w:sz w:val="18"/>
                <w:szCs w:val="18"/>
                <w:lang w:val="en-GB" w:eastAsia="zh-CN"/>
              </w:rPr>
              <w:t>c. lead the elaboration of guideline for mobilizing green finance resources.</w:t>
            </w:r>
          </w:p>
          <w:p w14:paraId="59188E2A" w14:textId="77777777" w:rsidR="00D83760" w:rsidRPr="002D58AD"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2D58AD">
              <w:rPr>
                <w:sz w:val="18"/>
                <w:szCs w:val="18"/>
                <w:lang w:val="en-GB" w:eastAsia="zh-CN"/>
              </w:rPr>
              <w:t>d. provide inputs to the development of capacity building activities on utilizing the developed guidelines.</w:t>
            </w:r>
          </w:p>
          <w:p w14:paraId="1E12CDE8" w14:textId="77777777" w:rsidR="00D83760" w:rsidRPr="002D58AD" w:rsidRDefault="00D8376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p>
        </w:tc>
        <w:tc>
          <w:tcPr>
            <w:tcW w:w="1194" w:type="pct"/>
          </w:tcPr>
          <w:p w14:paraId="193CF571" w14:textId="77777777" w:rsidR="00AA22A4" w:rsidRDefault="00AA22A4"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A24277">
              <w:rPr>
                <w:sz w:val="18"/>
                <w:szCs w:val="18"/>
              </w:rPr>
              <w:t xml:space="preserve">Master’s degree in </w:t>
            </w:r>
            <w:r>
              <w:rPr>
                <w:sz w:val="18"/>
                <w:szCs w:val="18"/>
              </w:rPr>
              <w:t xml:space="preserve">finance, </w:t>
            </w:r>
            <w:r w:rsidRPr="00A24277">
              <w:rPr>
                <w:sz w:val="18"/>
                <w:szCs w:val="18"/>
              </w:rPr>
              <w:t xml:space="preserve">economic or social science studies or </w:t>
            </w:r>
            <w:r>
              <w:rPr>
                <w:sz w:val="18"/>
                <w:szCs w:val="18"/>
              </w:rPr>
              <w:t xml:space="preserve">natural sciences or </w:t>
            </w:r>
            <w:r w:rsidRPr="00A24277">
              <w:rPr>
                <w:sz w:val="18"/>
                <w:szCs w:val="18"/>
              </w:rPr>
              <w:t>another relevant field</w:t>
            </w:r>
            <w:r>
              <w:rPr>
                <w:sz w:val="18"/>
                <w:szCs w:val="18"/>
              </w:rPr>
              <w:t>.</w:t>
            </w:r>
          </w:p>
          <w:p w14:paraId="7A5BBB0E" w14:textId="3847116E" w:rsidR="00D83760" w:rsidRPr="002D58AD" w:rsidRDefault="006A599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At least </w:t>
            </w:r>
            <w:r w:rsidRPr="006A5992">
              <w:rPr>
                <w:sz w:val="18"/>
                <w:szCs w:val="18"/>
              </w:rPr>
              <w:t>t least 7 years of experience in climate finance, international funding mechanisms, and institutional finance.</w:t>
            </w:r>
          </w:p>
          <w:p w14:paraId="3AF655A7" w14:textId="590E1E57" w:rsidR="00C31A9A" w:rsidRDefault="00C31A9A"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Knowledge</w:t>
            </w:r>
            <w:r w:rsidR="006A5992" w:rsidRPr="006A5992">
              <w:rPr>
                <w:sz w:val="18"/>
                <w:szCs w:val="18"/>
              </w:rPr>
              <w:t xml:space="preserve"> of global and national financial resources, review</w:t>
            </w:r>
            <w:r w:rsidR="00211F7D">
              <w:rPr>
                <w:sz w:val="18"/>
                <w:szCs w:val="18"/>
              </w:rPr>
              <w:t>ing</w:t>
            </w:r>
            <w:r w:rsidR="006A5992" w:rsidRPr="006A5992">
              <w:rPr>
                <w:sz w:val="18"/>
                <w:szCs w:val="18"/>
              </w:rPr>
              <w:t xml:space="preserve"> institutional frameworks, and develop</w:t>
            </w:r>
            <w:r w:rsidR="00211F7D">
              <w:rPr>
                <w:sz w:val="18"/>
                <w:szCs w:val="18"/>
              </w:rPr>
              <w:t>ing</w:t>
            </w:r>
            <w:r w:rsidR="006A5992" w:rsidRPr="006A5992">
              <w:rPr>
                <w:sz w:val="18"/>
                <w:szCs w:val="18"/>
              </w:rPr>
              <w:t xml:space="preserve"> evidence-based guidelines and recommendations aligned with international green finance standards.</w:t>
            </w:r>
          </w:p>
          <w:p w14:paraId="7E3946CC" w14:textId="3724B7DA" w:rsidR="00D83760" w:rsidRPr="002D58AD" w:rsidRDefault="00211F7D"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211F7D">
              <w:rPr>
                <w:sz w:val="18"/>
                <w:szCs w:val="18"/>
              </w:rPr>
              <w:t>Experience in designing and delivering capacity-building programs, facilitating workshops, and engaging with diverse stakeholders, including financial institutions, government entities, and international partners.</w:t>
            </w:r>
          </w:p>
          <w:p w14:paraId="765E0089" w14:textId="153F6263" w:rsidR="00D83760" w:rsidRPr="002D58AD" w:rsidRDefault="000F525F"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0F525F">
              <w:rPr>
                <w:sz w:val="18"/>
                <w:szCs w:val="18"/>
              </w:rPr>
              <w:t>Strong communication skills with fluency in English; knowledge of Russian is an advantage, and the ability to articulate findings and recommendations clearly through reports, presentations, and workshops.</w:t>
            </w:r>
          </w:p>
        </w:tc>
        <w:tc>
          <w:tcPr>
            <w:tcW w:w="324" w:type="pct"/>
          </w:tcPr>
          <w:p w14:paraId="0F476E80" w14:textId="0C614D37" w:rsidR="00D83760" w:rsidRPr="002D58AD" w:rsidRDefault="7BB07302">
            <w:pPr>
              <w:cnfStyle w:val="000000000000" w:firstRow="0" w:lastRow="0" w:firstColumn="0" w:lastColumn="0" w:oddVBand="0" w:evenVBand="0" w:oddHBand="0" w:evenHBand="0" w:firstRowFirstColumn="0" w:firstRowLastColumn="0" w:lastRowFirstColumn="0" w:lastRowLastColumn="0"/>
              <w:rPr>
                <w:sz w:val="18"/>
                <w:szCs w:val="18"/>
              </w:rPr>
            </w:pPr>
            <w:r w:rsidRPr="49A77A39">
              <w:rPr>
                <w:sz w:val="18"/>
                <w:szCs w:val="18"/>
              </w:rPr>
              <w:t>T</w:t>
            </w:r>
          </w:p>
        </w:tc>
      </w:tr>
      <w:tr w:rsidR="00D83760" w:rsidRPr="00450B52" w14:paraId="00D477ED"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7EA6616B" w14:textId="77777777" w:rsidR="00D83760" w:rsidRDefault="00D83760">
            <w:pPr>
              <w:rPr>
                <w:color w:val="808080" w:themeColor="background1" w:themeShade="80"/>
                <w:sz w:val="18"/>
                <w:szCs w:val="18"/>
              </w:rPr>
            </w:pPr>
            <w:r>
              <w:rPr>
                <w:color w:val="808080" w:themeColor="background1" w:themeShade="80"/>
                <w:sz w:val="18"/>
                <w:szCs w:val="18"/>
              </w:rPr>
              <w:t>DP</w:t>
            </w:r>
          </w:p>
        </w:tc>
        <w:tc>
          <w:tcPr>
            <w:tcW w:w="613" w:type="pct"/>
          </w:tcPr>
          <w:p w14:paraId="4FF4506A" w14:textId="2B65DCFB" w:rsidR="00D83760" w:rsidRPr="00B82835" w:rsidRDefault="00D83760">
            <w:pPr>
              <w:spacing w:after="12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B82835">
              <w:rPr>
                <w:color w:val="000000" w:themeColor="text1"/>
                <w:sz w:val="18"/>
                <w:szCs w:val="18"/>
              </w:rPr>
              <w:t xml:space="preserve">Local </w:t>
            </w:r>
            <w:r w:rsidR="0054668C" w:rsidRPr="00B82835">
              <w:rPr>
                <w:color w:val="000000" w:themeColor="text1"/>
                <w:sz w:val="18"/>
                <w:szCs w:val="18"/>
              </w:rPr>
              <w:t>investment</w:t>
            </w:r>
            <w:r w:rsidRPr="00B82835">
              <w:rPr>
                <w:color w:val="000000" w:themeColor="text1"/>
                <w:sz w:val="18"/>
                <w:szCs w:val="18"/>
              </w:rPr>
              <w:t xml:space="preserve"> specialist (local consultant)</w:t>
            </w:r>
          </w:p>
        </w:tc>
        <w:tc>
          <w:tcPr>
            <w:tcW w:w="842" w:type="pct"/>
          </w:tcPr>
          <w:p w14:paraId="6ABDC6CD" w14:textId="77777777" w:rsidR="00D83760" w:rsidRPr="00B8283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rPr>
            </w:pPr>
            <w:r w:rsidRPr="00B82835">
              <w:rPr>
                <w:sz w:val="18"/>
                <w:szCs w:val="18"/>
              </w:rPr>
              <w:t xml:space="preserve">Output 5.1.1. NDAs, DAEs, DPs have developed knowledge products containing information on LECRD, methodologies, lessons learned or best practices extracted from within the country and from other </w:t>
            </w:r>
            <w:r w:rsidRPr="00B82835">
              <w:rPr>
                <w:sz w:val="18"/>
                <w:szCs w:val="18"/>
              </w:rPr>
              <w:lastRenderedPageBreak/>
              <w:t>countries (South-South cooperation)</w:t>
            </w:r>
          </w:p>
        </w:tc>
        <w:tc>
          <w:tcPr>
            <w:tcW w:w="1642" w:type="pct"/>
          </w:tcPr>
          <w:p w14:paraId="0D808D94" w14:textId="77777777" w:rsidR="00D83760" w:rsidRPr="00B8283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B82835">
              <w:rPr>
                <w:sz w:val="18"/>
                <w:szCs w:val="18"/>
                <w:lang w:val="en-GB" w:eastAsia="zh-CN"/>
              </w:rPr>
              <w:lastRenderedPageBreak/>
              <w:t>Develop mapping and guidelines for mobilizing resources from relevant global green institutions (Activity 5.1.1.2.a.):</w:t>
            </w:r>
          </w:p>
          <w:p w14:paraId="17C417D9" w14:textId="77777777" w:rsidR="00D83760" w:rsidRPr="00B8283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B82835">
              <w:rPr>
                <w:sz w:val="18"/>
                <w:szCs w:val="18"/>
                <w:lang w:val="en-GB" w:eastAsia="zh-CN"/>
              </w:rPr>
              <w:t>a. provide contextualized inputs into mapping of relevant sources of green financing.</w:t>
            </w:r>
          </w:p>
          <w:p w14:paraId="58D39255" w14:textId="77777777" w:rsidR="00D83760" w:rsidRPr="00B8283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B82835">
              <w:rPr>
                <w:sz w:val="18"/>
                <w:szCs w:val="18"/>
                <w:lang w:val="en-GB" w:eastAsia="zh-CN"/>
              </w:rPr>
              <w:t>b. assist in the desk review of the national financial institutions.</w:t>
            </w:r>
          </w:p>
          <w:p w14:paraId="47A1B10D" w14:textId="77777777" w:rsidR="00D83760" w:rsidRPr="00B8283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B82835">
              <w:rPr>
                <w:sz w:val="18"/>
                <w:szCs w:val="18"/>
                <w:lang w:val="en-GB" w:eastAsia="zh-CN"/>
              </w:rPr>
              <w:t>c. lead the elaboration of guideline for mobilizing green finance resources.</w:t>
            </w:r>
          </w:p>
          <w:p w14:paraId="21122853" w14:textId="77777777" w:rsidR="00D83760" w:rsidRPr="00B8283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B82835">
              <w:rPr>
                <w:sz w:val="18"/>
                <w:szCs w:val="18"/>
                <w:lang w:val="en-GB" w:eastAsia="zh-CN"/>
              </w:rPr>
              <w:lastRenderedPageBreak/>
              <w:t>d. develop capacity building activities on utilizing the developed guidelines.</w:t>
            </w:r>
          </w:p>
          <w:p w14:paraId="50A1C182" w14:textId="77777777" w:rsidR="00D83760" w:rsidRPr="00B82835" w:rsidRDefault="00D83760">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B82835">
              <w:rPr>
                <w:sz w:val="18"/>
                <w:szCs w:val="18"/>
                <w:lang w:val="en-GB" w:eastAsia="zh-CN"/>
              </w:rPr>
              <w:t>e. ensure capacity building delivery.</w:t>
            </w:r>
          </w:p>
        </w:tc>
        <w:tc>
          <w:tcPr>
            <w:tcW w:w="1194" w:type="pct"/>
          </w:tcPr>
          <w:p w14:paraId="68896B65" w14:textId="043027C9" w:rsidR="00D83760" w:rsidRDefault="00D8376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B82835">
              <w:rPr>
                <w:sz w:val="18"/>
                <w:szCs w:val="18"/>
              </w:rPr>
              <w:lastRenderedPageBreak/>
              <w:t>Higher degree in finance, economic or social science studies</w:t>
            </w:r>
            <w:r w:rsidR="00B82835" w:rsidRPr="00B82835">
              <w:rPr>
                <w:sz w:val="18"/>
                <w:szCs w:val="18"/>
              </w:rPr>
              <w:t>, natural sciences</w:t>
            </w:r>
            <w:r w:rsidRPr="00B82835">
              <w:rPr>
                <w:sz w:val="18"/>
                <w:szCs w:val="18"/>
              </w:rPr>
              <w:t xml:space="preserve"> or another relevant field</w:t>
            </w:r>
          </w:p>
          <w:p w14:paraId="56CA0B3C" w14:textId="77777777" w:rsidR="00CC2787" w:rsidRDefault="00CC2787"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At least 10 years of e</w:t>
            </w:r>
            <w:r w:rsidRPr="00A15AC2">
              <w:rPr>
                <w:sz w:val="18"/>
                <w:szCs w:val="18"/>
              </w:rPr>
              <w:t>xperience in</w:t>
            </w:r>
            <w:r>
              <w:rPr>
                <w:sz w:val="18"/>
                <w:szCs w:val="18"/>
              </w:rPr>
              <w:t xml:space="preserve"> financial sector</w:t>
            </w:r>
            <w:r w:rsidRPr="00A15AC2">
              <w:rPr>
                <w:sz w:val="18"/>
                <w:szCs w:val="18"/>
              </w:rPr>
              <w:t>.</w:t>
            </w:r>
          </w:p>
          <w:p w14:paraId="07E3ED19" w14:textId="0B49AD57" w:rsidR="00CC2787" w:rsidRDefault="00343028"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Experience in capacity building, </w:t>
            </w:r>
            <w:r w:rsidR="006E41B8">
              <w:rPr>
                <w:sz w:val="18"/>
                <w:szCs w:val="18"/>
              </w:rPr>
              <w:t>and formulation of guideline materials.</w:t>
            </w:r>
          </w:p>
          <w:p w14:paraId="5A2465CF" w14:textId="3807C177" w:rsidR="00D83760" w:rsidRPr="006E41B8" w:rsidRDefault="00A15AC2"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6E41B8">
              <w:rPr>
                <w:sz w:val="18"/>
                <w:szCs w:val="18"/>
              </w:rPr>
              <w:t xml:space="preserve">Strong understanding of national financial institutions, regulatory </w:t>
            </w:r>
            <w:r w:rsidRPr="006E41B8">
              <w:rPr>
                <w:sz w:val="18"/>
                <w:szCs w:val="18"/>
              </w:rPr>
              <w:lastRenderedPageBreak/>
              <w:t>frameworks, and the socio-economic context of Kyrgyzstan, particularly in relation to green and climate finance.</w:t>
            </w:r>
          </w:p>
        </w:tc>
        <w:tc>
          <w:tcPr>
            <w:tcW w:w="324" w:type="pct"/>
          </w:tcPr>
          <w:p w14:paraId="4162A804" w14:textId="30AD0154" w:rsidR="00D83760" w:rsidRDefault="50BA25F9">
            <w:pPr>
              <w:cnfStyle w:val="000000100000" w:firstRow="0" w:lastRow="0" w:firstColumn="0" w:lastColumn="0" w:oddVBand="0" w:evenVBand="0" w:oddHBand="1" w:evenHBand="0" w:firstRowFirstColumn="0" w:firstRowLastColumn="0" w:lastRowFirstColumn="0" w:lastRowLastColumn="0"/>
              <w:rPr>
                <w:sz w:val="18"/>
                <w:szCs w:val="18"/>
              </w:rPr>
            </w:pPr>
            <w:r w:rsidRPr="49A77A39">
              <w:rPr>
                <w:sz w:val="18"/>
                <w:szCs w:val="18"/>
              </w:rPr>
              <w:lastRenderedPageBreak/>
              <w:t>U</w:t>
            </w:r>
          </w:p>
        </w:tc>
      </w:tr>
      <w:tr w:rsidR="003D148B" w:rsidRPr="00450B52" w14:paraId="515F34AA" w14:textId="77777777" w:rsidTr="00F80EF7">
        <w:tc>
          <w:tcPr>
            <w:cnfStyle w:val="001000000000" w:firstRow="0" w:lastRow="0" w:firstColumn="1" w:lastColumn="0" w:oddVBand="0" w:evenVBand="0" w:oddHBand="0" w:evenHBand="0" w:firstRowFirstColumn="0" w:firstRowLastColumn="0" w:lastRowFirstColumn="0" w:lastRowLastColumn="0"/>
            <w:tcW w:w="385" w:type="pct"/>
          </w:tcPr>
          <w:p w14:paraId="4934DA15" w14:textId="2693617C" w:rsidR="003D148B" w:rsidRDefault="009669D1">
            <w:pPr>
              <w:rPr>
                <w:color w:val="808080" w:themeColor="background1" w:themeShade="80"/>
                <w:sz w:val="18"/>
                <w:szCs w:val="18"/>
              </w:rPr>
            </w:pPr>
            <w:r>
              <w:rPr>
                <w:color w:val="808080" w:themeColor="background1" w:themeShade="80"/>
                <w:sz w:val="18"/>
                <w:szCs w:val="18"/>
              </w:rPr>
              <w:t>DP</w:t>
            </w:r>
          </w:p>
        </w:tc>
        <w:tc>
          <w:tcPr>
            <w:tcW w:w="613" w:type="pct"/>
          </w:tcPr>
          <w:p w14:paraId="0B9F33F2" w14:textId="7CD85677" w:rsidR="003D148B" w:rsidRPr="00B6517B" w:rsidRDefault="003D148B">
            <w:pPr>
              <w:spacing w:after="12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Project Manager</w:t>
            </w:r>
            <w:r w:rsidR="004F24D5">
              <w:rPr>
                <w:sz w:val="18"/>
                <w:szCs w:val="18"/>
              </w:rPr>
              <w:t xml:space="preserve"> (PMU)</w:t>
            </w:r>
          </w:p>
        </w:tc>
        <w:tc>
          <w:tcPr>
            <w:tcW w:w="842" w:type="pct"/>
          </w:tcPr>
          <w:p w14:paraId="72C69890" w14:textId="77777777" w:rsidR="00D2461B" w:rsidRDefault="00D2461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1.1.3</w:t>
            </w:r>
          </w:p>
          <w:p w14:paraId="47D7B92F" w14:textId="77777777" w:rsidR="00D2461B" w:rsidRDefault="00D2461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1.3.1</w:t>
            </w:r>
          </w:p>
          <w:p w14:paraId="39E81711" w14:textId="77777777" w:rsidR="00D2461B" w:rsidRDefault="00D2461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2.2.5</w:t>
            </w:r>
          </w:p>
          <w:p w14:paraId="17C9BC99" w14:textId="77777777" w:rsidR="00D2461B" w:rsidRDefault="00D2461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2.2.6</w:t>
            </w:r>
          </w:p>
          <w:p w14:paraId="3154EFC2" w14:textId="77777777" w:rsidR="00D2461B" w:rsidRDefault="00D2461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2.4.1</w:t>
            </w:r>
          </w:p>
          <w:p w14:paraId="227EA578" w14:textId="77777777" w:rsidR="00D2461B" w:rsidRDefault="00D2461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4.1.1</w:t>
            </w:r>
          </w:p>
          <w:p w14:paraId="6F9EA4B6" w14:textId="77777777" w:rsidR="00D2461B" w:rsidRDefault="00D2461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5.1.1</w:t>
            </w:r>
          </w:p>
          <w:p w14:paraId="759875FF" w14:textId="5C3FA99C" w:rsidR="00137033" w:rsidRPr="004F24D5" w:rsidRDefault="00D2461B" w:rsidP="00163FD5">
            <w:pPr>
              <w:pStyle w:val="ListParagraph"/>
              <w:numPr>
                <w:ilvl w:val="0"/>
                <w:numId w:val="27"/>
              </w:numPr>
              <w:spacing w:after="120"/>
              <w:cnfStyle w:val="000000000000" w:firstRow="0" w:lastRow="0" w:firstColumn="0" w:lastColumn="0" w:oddVBand="0" w:evenVBand="0" w:oddHBand="0" w:evenHBand="0" w:firstRowFirstColumn="0" w:firstRowLastColumn="0" w:lastRowFirstColumn="0" w:lastRowLastColumn="0"/>
              <w:rPr>
                <w:sz w:val="18"/>
                <w:szCs w:val="18"/>
              </w:rPr>
            </w:pPr>
            <w:r w:rsidRPr="00D2461B">
              <w:rPr>
                <w:sz w:val="18"/>
                <w:szCs w:val="18"/>
              </w:rPr>
              <w:t>5.1.2</w:t>
            </w:r>
          </w:p>
        </w:tc>
        <w:tc>
          <w:tcPr>
            <w:tcW w:w="1642" w:type="pct"/>
          </w:tcPr>
          <w:p w14:paraId="058F84CD" w14:textId="6565C525" w:rsidR="00F80C31" w:rsidRPr="00F80C31" w:rsidRDefault="00F80C31" w:rsidP="00F80C3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80C31">
              <w:rPr>
                <w:sz w:val="18"/>
                <w:szCs w:val="18"/>
                <w:lang w:val="en-GB" w:eastAsia="zh-CN"/>
              </w:rPr>
              <w:t xml:space="preserve">Operational coordination with the NDA, political partners and consultants, including other key stakeholders </w:t>
            </w:r>
          </w:p>
          <w:p w14:paraId="6DE653A8" w14:textId="0FAB423A" w:rsidR="00F80C31" w:rsidRPr="00F80C31" w:rsidRDefault="00F80C31" w:rsidP="00F80C3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80C31">
              <w:rPr>
                <w:sz w:val="18"/>
                <w:szCs w:val="18"/>
                <w:lang w:val="en-GB" w:eastAsia="zh-CN"/>
              </w:rPr>
              <w:t>ToRs development</w:t>
            </w:r>
            <w:r w:rsidR="007B55FC">
              <w:rPr>
                <w:sz w:val="18"/>
                <w:szCs w:val="18"/>
                <w:lang w:val="en-GB" w:eastAsia="zh-CN"/>
              </w:rPr>
              <w:t xml:space="preserve"> for </w:t>
            </w:r>
            <w:r w:rsidR="00530D05">
              <w:rPr>
                <w:sz w:val="18"/>
                <w:szCs w:val="18"/>
                <w:lang w:val="en-GB" w:eastAsia="zh-CN"/>
              </w:rPr>
              <w:t xml:space="preserve">Outcomes </w:t>
            </w:r>
            <w:r w:rsidR="007B55FC" w:rsidRPr="00137033">
              <w:rPr>
                <w:sz w:val="18"/>
                <w:szCs w:val="18"/>
              </w:rPr>
              <w:t>2.2; 2.4;5.1</w:t>
            </w:r>
            <w:r w:rsidR="00CA2F9B">
              <w:rPr>
                <w:sz w:val="18"/>
                <w:szCs w:val="18"/>
              </w:rPr>
              <w:t>.</w:t>
            </w:r>
            <w:r w:rsidRPr="00F80C31">
              <w:rPr>
                <w:sz w:val="18"/>
                <w:szCs w:val="18"/>
                <w:lang w:val="en-GB" w:eastAsia="zh-CN"/>
              </w:rPr>
              <w:t xml:space="preserve"> </w:t>
            </w:r>
          </w:p>
          <w:p w14:paraId="38245429" w14:textId="66A9E9D3" w:rsidR="00F80C31" w:rsidRPr="00F80C31" w:rsidRDefault="00F80C31" w:rsidP="00F80C3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80C31">
              <w:rPr>
                <w:sz w:val="18"/>
                <w:szCs w:val="18"/>
                <w:lang w:val="en-GB" w:eastAsia="zh-CN"/>
              </w:rPr>
              <w:t xml:space="preserve">Preparation of reports </w:t>
            </w:r>
          </w:p>
          <w:p w14:paraId="64BD7399" w14:textId="7B6C8F70" w:rsidR="00F80C31" w:rsidRPr="00F80C31" w:rsidRDefault="00F80C31" w:rsidP="00F80C3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80C31">
              <w:rPr>
                <w:sz w:val="18"/>
                <w:szCs w:val="18"/>
                <w:lang w:val="en-GB" w:eastAsia="zh-CN"/>
              </w:rPr>
              <w:t xml:space="preserve">Daily technical and ad-hoc support to the MNRETS and its members and other partners on project activities. </w:t>
            </w:r>
          </w:p>
          <w:p w14:paraId="53089217" w14:textId="1D3B45B3" w:rsidR="00F80C31" w:rsidRPr="00F80C31" w:rsidRDefault="00F80C31" w:rsidP="00F80C3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80C31">
              <w:rPr>
                <w:sz w:val="18"/>
                <w:szCs w:val="18"/>
                <w:lang w:val="en-GB" w:eastAsia="zh-CN"/>
              </w:rPr>
              <w:t xml:space="preserve">Stakeholder engagement and communication processes; </w:t>
            </w:r>
          </w:p>
          <w:p w14:paraId="0AD97093" w14:textId="073175EC" w:rsidR="00F80C31" w:rsidRPr="00F80C31" w:rsidRDefault="00F80C31" w:rsidP="00F80C3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80C31">
              <w:rPr>
                <w:sz w:val="18"/>
                <w:szCs w:val="18"/>
                <w:lang w:val="en-GB" w:eastAsia="zh-CN"/>
              </w:rPr>
              <w:t>Technical review of all deliverables</w:t>
            </w:r>
            <w:r w:rsidR="007B55FC">
              <w:rPr>
                <w:sz w:val="18"/>
                <w:szCs w:val="18"/>
                <w:lang w:val="en-GB" w:eastAsia="zh-CN"/>
              </w:rPr>
              <w:t xml:space="preserve"> under </w:t>
            </w:r>
            <w:r w:rsidR="00CA2F9B">
              <w:rPr>
                <w:sz w:val="18"/>
                <w:szCs w:val="18"/>
                <w:lang w:val="en-GB" w:eastAsia="zh-CN"/>
              </w:rPr>
              <w:t xml:space="preserve">Outcomes </w:t>
            </w:r>
            <w:r w:rsidR="001252FB" w:rsidRPr="00137033">
              <w:rPr>
                <w:sz w:val="18"/>
                <w:szCs w:val="18"/>
              </w:rPr>
              <w:t>2.2; 2.4;5.1</w:t>
            </w:r>
            <w:r w:rsidR="00CA2F9B">
              <w:rPr>
                <w:sz w:val="18"/>
                <w:szCs w:val="18"/>
              </w:rPr>
              <w:t>.</w:t>
            </w:r>
            <w:r w:rsidRPr="00F80C31">
              <w:rPr>
                <w:sz w:val="18"/>
                <w:szCs w:val="18"/>
                <w:lang w:val="en-GB" w:eastAsia="zh-CN"/>
              </w:rPr>
              <w:t xml:space="preserve"> </w:t>
            </w:r>
          </w:p>
          <w:p w14:paraId="52C06050" w14:textId="3928635A" w:rsidR="00F80C31" w:rsidRPr="00F80C31" w:rsidRDefault="00F80C31" w:rsidP="00F80C3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80C31">
              <w:rPr>
                <w:sz w:val="18"/>
                <w:szCs w:val="18"/>
                <w:lang w:val="en-GB" w:eastAsia="zh-CN"/>
              </w:rPr>
              <w:t xml:space="preserve">Implementation and facilitation of workshops, meetings and trainings; </w:t>
            </w:r>
          </w:p>
          <w:p w14:paraId="393BBDA5" w14:textId="6A0440CB" w:rsidR="00F80C31" w:rsidRPr="00F80C31" w:rsidRDefault="00F80C31" w:rsidP="00F80C3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80C31">
              <w:rPr>
                <w:sz w:val="18"/>
                <w:szCs w:val="18"/>
                <w:lang w:val="en-GB" w:eastAsia="zh-CN"/>
              </w:rPr>
              <w:t xml:space="preserve">Evaluation and documentation of results; </w:t>
            </w:r>
          </w:p>
          <w:p w14:paraId="74F3A27B" w14:textId="0BEE00C6" w:rsidR="003D148B" w:rsidRPr="00A4458A" w:rsidRDefault="00F80C31" w:rsidP="00F80C31">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F80C31">
              <w:rPr>
                <w:sz w:val="18"/>
                <w:szCs w:val="18"/>
                <w:lang w:val="en-GB" w:eastAsia="zh-CN"/>
              </w:rPr>
              <w:t>Support interim progress reports, and competition report.</w:t>
            </w:r>
          </w:p>
        </w:tc>
        <w:tc>
          <w:tcPr>
            <w:tcW w:w="1194" w:type="pct"/>
          </w:tcPr>
          <w:p w14:paraId="29FBE80E" w14:textId="47A4E97B" w:rsidR="00235B4B" w:rsidRPr="00C35984" w:rsidRDefault="00235B4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C35984">
              <w:rPr>
                <w:sz w:val="18"/>
                <w:szCs w:val="18"/>
              </w:rPr>
              <w:t>Higher degree in finance, public finance, economics, development economics, statistics, public administration, management</w:t>
            </w:r>
            <w:r w:rsidR="00C35984">
              <w:rPr>
                <w:sz w:val="18"/>
                <w:szCs w:val="18"/>
              </w:rPr>
              <w:t>, natural sciences</w:t>
            </w:r>
            <w:r w:rsidRPr="00C35984">
              <w:rPr>
                <w:sz w:val="18"/>
                <w:szCs w:val="18"/>
              </w:rPr>
              <w:t xml:space="preserve"> or other relevant field; </w:t>
            </w:r>
          </w:p>
          <w:p w14:paraId="570DE83C" w14:textId="4EB5E6E3" w:rsidR="00235B4B" w:rsidRPr="00C35984" w:rsidRDefault="00235B4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C35984">
              <w:rPr>
                <w:sz w:val="18"/>
                <w:szCs w:val="18"/>
              </w:rPr>
              <w:t xml:space="preserve">Minimum </w:t>
            </w:r>
            <w:r w:rsidR="00C35984">
              <w:rPr>
                <w:sz w:val="18"/>
                <w:szCs w:val="18"/>
              </w:rPr>
              <w:t xml:space="preserve">7 </w:t>
            </w:r>
            <w:r w:rsidRPr="00C35984">
              <w:rPr>
                <w:sz w:val="18"/>
                <w:szCs w:val="18"/>
              </w:rPr>
              <w:t>years of relevant professional experience in the field of economics, public finance, private finance, or other relevant fields</w:t>
            </w:r>
            <w:r w:rsidR="00706EC1" w:rsidRPr="00C35984">
              <w:rPr>
                <w:sz w:val="18"/>
                <w:szCs w:val="18"/>
              </w:rPr>
              <w:t xml:space="preserve">, including </w:t>
            </w:r>
            <w:r w:rsidRPr="00C35984">
              <w:rPr>
                <w:sz w:val="18"/>
                <w:szCs w:val="18"/>
              </w:rPr>
              <w:t>public finance management</w:t>
            </w:r>
            <w:r w:rsidR="00561265" w:rsidRPr="00C35984">
              <w:rPr>
                <w:sz w:val="18"/>
                <w:szCs w:val="18"/>
              </w:rPr>
              <w:t>;</w:t>
            </w:r>
            <w:r w:rsidR="00CA6625" w:rsidRPr="00C35984">
              <w:rPr>
                <w:sz w:val="18"/>
                <w:szCs w:val="18"/>
              </w:rPr>
              <w:t xml:space="preserve"> </w:t>
            </w:r>
            <w:r w:rsidRPr="00C35984">
              <w:rPr>
                <w:sz w:val="18"/>
                <w:szCs w:val="18"/>
              </w:rPr>
              <w:t>policy advice, policy design, policy impact evaluation.</w:t>
            </w:r>
          </w:p>
          <w:p w14:paraId="4B93172B" w14:textId="08ADC527" w:rsidR="00235B4B" w:rsidRPr="00C35984" w:rsidRDefault="00235B4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C35984">
              <w:rPr>
                <w:sz w:val="18"/>
                <w:szCs w:val="18"/>
              </w:rPr>
              <w:t>Proven experience of working with/in international organizations’ programme and projects</w:t>
            </w:r>
            <w:r w:rsidR="00CA6625" w:rsidRPr="00C35984">
              <w:rPr>
                <w:sz w:val="18"/>
                <w:szCs w:val="18"/>
              </w:rPr>
              <w:t xml:space="preserve"> in managing capacity</w:t>
            </w:r>
            <w:r w:rsidRPr="00C35984">
              <w:rPr>
                <w:sz w:val="18"/>
                <w:szCs w:val="18"/>
              </w:rPr>
              <w:t>;</w:t>
            </w:r>
          </w:p>
          <w:p w14:paraId="036DCAE0" w14:textId="26157428" w:rsidR="00235B4B" w:rsidRPr="00C35984" w:rsidRDefault="00235B4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C35984">
              <w:rPr>
                <w:sz w:val="18"/>
                <w:szCs w:val="18"/>
              </w:rPr>
              <w:t>Experience of private sector engagement for sustainable development and mobilization of private finance is an asset</w:t>
            </w:r>
            <w:r w:rsidR="00C35984" w:rsidRPr="00C35984">
              <w:rPr>
                <w:sz w:val="18"/>
                <w:szCs w:val="18"/>
              </w:rPr>
              <w:t>.</w:t>
            </w:r>
          </w:p>
          <w:p w14:paraId="41AD49C9" w14:textId="63EC8F43" w:rsidR="00561265" w:rsidRPr="00561265" w:rsidRDefault="00235B4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C35984">
              <w:rPr>
                <w:sz w:val="18"/>
                <w:szCs w:val="18"/>
              </w:rPr>
              <w:t>Spoken and written proficiency in Russian and English; Kyrgyz language proficiency is desirable</w:t>
            </w:r>
            <w:r w:rsidR="00C35984" w:rsidRPr="00C35984">
              <w:rPr>
                <w:sz w:val="18"/>
                <w:szCs w:val="18"/>
              </w:rPr>
              <w:t>.</w:t>
            </w:r>
          </w:p>
        </w:tc>
        <w:tc>
          <w:tcPr>
            <w:tcW w:w="324" w:type="pct"/>
          </w:tcPr>
          <w:p w14:paraId="2FF47CA9" w14:textId="0F2CA944" w:rsidR="003D148B" w:rsidRPr="00B6517B" w:rsidRDefault="00AA10F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AB</w:t>
            </w:r>
          </w:p>
        </w:tc>
      </w:tr>
      <w:tr w:rsidR="00F37B98" w:rsidRPr="00450B52" w14:paraId="61EBE9FC"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2F2A53C3" w14:textId="6CC84922" w:rsidR="00F37B98" w:rsidRDefault="009669D1">
            <w:pPr>
              <w:rPr>
                <w:color w:val="808080" w:themeColor="background1" w:themeShade="80"/>
                <w:sz w:val="18"/>
                <w:szCs w:val="18"/>
              </w:rPr>
            </w:pPr>
            <w:r>
              <w:rPr>
                <w:color w:val="808080" w:themeColor="background1" w:themeShade="80"/>
                <w:sz w:val="18"/>
                <w:szCs w:val="18"/>
              </w:rPr>
              <w:t>DP</w:t>
            </w:r>
          </w:p>
        </w:tc>
        <w:tc>
          <w:tcPr>
            <w:tcW w:w="613" w:type="pct"/>
          </w:tcPr>
          <w:p w14:paraId="05DC3C15" w14:textId="7EE89347" w:rsidR="00F37B98" w:rsidRDefault="00F37B98">
            <w:pPr>
              <w:spacing w:after="12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Project Specialist</w:t>
            </w:r>
            <w:r w:rsidR="004F24D5">
              <w:rPr>
                <w:sz w:val="18"/>
                <w:szCs w:val="18"/>
              </w:rPr>
              <w:t xml:space="preserve"> (PMU)</w:t>
            </w:r>
          </w:p>
        </w:tc>
        <w:tc>
          <w:tcPr>
            <w:tcW w:w="842" w:type="pct"/>
          </w:tcPr>
          <w:p w14:paraId="73C173A0" w14:textId="77777777" w:rsidR="0041080C" w:rsidRDefault="0041080C"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1.1.3</w:t>
            </w:r>
          </w:p>
          <w:p w14:paraId="229BC550" w14:textId="4CAB501D" w:rsidR="00B07280" w:rsidRDefault="00B07280"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1.3.1</w:t>
            </w:r>
          </w:p>
          <w:p w14:paraId="6CF995BE" w14:textId="77CADC0E" w:rsidR="00F37B98" w:rsidRPr="007672CB" w:rsidRDefault="0041080C"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4.1.1</w:t>
            </w:r>
          </w:p>
        </w:tc>
        <w:tc>
          <w:tcPr>
            <w:tcW w:w="1642" w:type="pct"/>
          </w:tcPr>
          <w:p w14:paraId="422BD8BF" w14:textId="77777777" w:rsidR="004538F3" w:rsidRPr="00F80C31" w:rsidRDefault="004538F3" w:rsidP="004538F3">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F80C31">
              <w:rPr>
                <w:sz w:val="18"/>
                <w:szCs w:val="18"/>
                <w:lang w:val="en-GB" w:eastAsia="zh-CN"/>
              </w:rPr>
              <w:t xml:space="preserve">Operational coordination with the NDA, political partners and consultants, including other key stakeholders </w:t>
            </w:r>
          </w:p>
          <w:p w14:paraId="2726EE28" w14:textId="7CA342FE" w:rsidR="004538F3" w:rsidRPr="00F80C31" w:rsidRDefault="004538F3" w:rsidP="004538F3">
            <w:pPr>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4538F3">
              <w:rPr>
                <w:sz w:val="18"/>
                <w:szCs w:val="18"/>
                <w:lang w:val="en-GB" w:eastAsia="zh-CN"/>
              </w:rPr>
              <w:t>ToRs development for Outcomes</w:t>
            </w:r>
            <w:r w:rsidR="001252FB">
              <w:rPr>
                <w:sz w:val="18"/>
                <w:szCs w:val="18"/>
                <w:lang w:val="en-GB" w:eastAsia="zh-CN"/>
              </w:rPr>
              <w:t xml:space="preserve"> </w:t>
            </w:r>
            <w:r w:rsidRPr="004538F3">
              <w:rPr>
                <w:sz w:val="18"/>
                <w:szCs w:val="18"/>
              </w:rPr>
              <w:t>1.</w:t>
            </w:r>
            <w:r w:rsidR="004F24D5">
              <w:rPr>
                <w:sz w:val="18"/>
                <w:szCs w:val="18"/>
              </w:rPr>
              <w:t xml:space="preserve">1; </w:t>
            </w:r>
            <w:r w:rsidRPr="004538F3">
              <w:rPr>
                <w:sz w:val="18"/>
                <w:szCs w:val="18"/>
              </w:rPr>
              <w:t>1.3</w:t>
            </w:r>
            <w:r>
              <w:rPr>
                <w:sz w:val="18"/>
                <w:szCs w:val="18"/>
              </w:rPr>
              <w:t>; 4.1</w:t>
            </w:r>
            <w:r w:rsidR="004F24D5">
              <w:rPr>
                <w:sz w:val="18"/>
                <w:szCs w:val="18"/>
                <w:lang w:val="en-GB" w:eastAsia="zh-CN"/>
              </w:rPr>
              <w:t>.</w:t>
            </w:r>
          </w:p>
          <w:p w14:paraId="1B8B350C" w14:textId="0B96D449" w:rsidR="004538F3" w:rsidRPr="00F80C31" w:rsidRDefault="0000498E" w:rsidP="004538F3">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lang w:val="en-GB" w:eastAsia="zh-CN"/>
              </w:rPr>
              <w:t>Inputs to the p</w:t>
            </w:r>
            <w:r w:rsidR="004538F3" w:rsidRPr="00F80C31">
              <w:rPr>
                <w:sz w:val="18"/>
                <w:szCs w:val="18"/>
                <w:lang w:val="en-GB" w:eastAsia="zh-CN"/>
              </w:rPr>
              <w:t xml:space="preserve">reparation of reports </w:t>
            </w:r>
          </w:p>
          <w:p w14:paraId="467ECFE5" w14:textId="0E5EDF7F" w:rsidR="004538F3" w:rsidRPr="00F80C31" w:rsidRDefault="004538F3" w:rsidP="004538F3">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F80C31">
              <w:rPr>
                <w:sz w:val="18"/>
                <w:szCs w:val="18"/>
                <w:lang w:val="en-GB" w:eastAsia="zh-CN"/>
              </w:rPr>
              <w:t>Daily technical and ad-hoc support to the MNRETS and its members and other partners on project activities</w:t>
            </w:r>
            <w:r w:rsidR="0000498E">
              <w:rPr>
                <w:sz w:val="18"/>
                <w:szCs w:val="18"/>
                <w:lang w:val="en-GB" w:eastAsia="zh-CN"/>
              </w:rPr>
              <w:t xml:space="preserve"> related to </w:t>
            </w:r>
            <w:r w:rsidR="0000498E" w:rsidRPr="004538F3">
              <w:rPr>
                <w:sz w:val="18"/>
                <w:szCs w:val="18"/>
                <w:lang w:val="en-GB" w:eastAsia="zh-CN"/>
              </w:rPr>
              <w:t>Outcomes</w:t>
            </w:r>
            <w:r w:rsidR="004F24D5">
              <w:rPr>
                <w:sz w:val="18"/>
                <w:szCs w:val="18"/>
                <w:lang w:val="en-GB" w:eastAsia="zh-CN"/>
              </w:rPr>
              <w:t xml:space="preserve"> </w:t>
            </w:r>
            <w:r w:rsidR="004F24D5" w:rsidRPr="004538F3">
              <w:rPr>
                <w:sz w:val="18"/>
                <w:szCs w:val="18"/>
              </w:rPr>
              <w:t>1.</w:t>
            </w:r>
            <w:r w:rsidR="004F24D5">
              <w:rPr>
                <w:sz w:val="18"/>
                <w:szCs w:val="18"/>
              </w:rPr>
              <w:t xml:space="preserve">1; </w:t>
            </w:r>
            <w:r w:rsidR="004F24D5" w:rsidRPr="004538F3">
              <w:rPr>
                <w:sz w:val="18"/>
                <w:szCs w:val="18"/>
              </w:rPr>
              <w:t>1.3</w:t>
            </w:r>
            <w:r w:rsidR="004F24D5">
              <w:rPr>
                <w:sz w:val="18"/>
                <w:szCs w:val="18"/>
              </w:rPr>
              <w:t>; 4.1</w:t>
            </w:r>
            <w:r w:rsidRPr="00F80C31">
              <w:rPr>
                <w:sz w:val="18"/>
                <w:szCs w:val="18"/>
                <w:lang w:val="en-GB" w:eastAsia="zh-CN"/>
              </w:rPr>
              <w:t>.</w:t>
            </w:r>
          </w:p>
          <w:p w14:paraId="09FA696C" w14:textId="284CF7D5" w:rsidR="004538F3" w:rsidRPr="00F80C31" w:rsidRDefault="004538F3" w:rsidP="004538F3">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F80C31">
              <w:rPr>
                <w:sz w:val="18"/>
                <w:szCs w:val="18"/>
                <w:lang w:val="en-GB" w:eastAsia="zh-CN"/>
              </w:rPr>
              <w:t>Stakeholder engagement and communication processes</w:t>
            </w:r>
            <w:r w:rsidR="0000498E">
              <w:rPr>
                <w:sz w:val="18"/>
                <w:szCs w:val="18"/>
                <w:lang w:val="en-GB" w:eastAsia="zh-CN"/>
              </w:rPr>
              <w:t xml:space="preserve"> </w:t>
            </w:r>
            <w:r w:rsidR="00530D05">
              <w:rPr>
                <w:sz w:val="18"/>
                <w:szCs w:val="18"/>
                <w:lang w:val="en-GB" w:eastAsia="zh-CN"/>
              </w:rPr>
              <w:t xml:space="preserve">related to </w:t>
            </w:r>
            <w:r w:rsidR="00530D05" w:rsidRPr="004538F3">
              <w:rPr>
                <w:sz w:val="18"/>
                <w:szCs w:val="18"/>
                <w:lang w:val="en-GB" w:eastAsia="zh-CN"/>
              </w:rPr>
              <w:t>Outcomes</w:t>
            </w:r>
            <w:r w:rsidR="004F24D5">
              <w:rPr>
                <w:sz w:val="18"/>
                <w:szCs w:val="18"/>
                <w:lang w:val="en-GB" w:eastAsia="zh-CN"/>
              </w:rPr>
              <w:t xml:space="preserve"> </w:t>
            </w:r>
            <w:r w:rsidR="004F24D5" w:rsidRPr="004538F3">
              <w:rPr>
                <w:sz w:val="18"/>
                <w:szCs w:val="18"/>
              </w:rPr>
              <w:t>1.</w:t>
            </w:r>
            <w:r w:rsidR="004F24D5">
              <w:rPr>
                <w:sz w:val="18"/>
                <w:szCs w:val="18"/>
              </w:rPr>
              <w:t xml:space="preserve">1; </w:t>
            </w:r>
            <w:r w:rsidR="004F24D5" w:rsidRPr="004538F3">
              <w:rPr>
                <w:sz w:val="18"/>
                <w:szCs w:val="18"/>
              </w:rPr>
              <w:t>1.3</w:t>
            </w:r>
            <w:r w:rsidR="004F24D5">
              <w:rPr>
                <w:sz w:val="18"/>
                <w:szCs w:val="18"/>
              </w:rPr>
              <w:t>; 4.1</w:t>
            </w:r>
            <w:r w:rsidR="004F24D5">
              <w:rPr>
                <w:sz w:val="18"/>
                <w:szCs w:val="18"/>
                <w:lang w:val="en-GB" w:eastAsia="zh-CN"/>
              </w:rPr>
              <w:t>.</w:t>
            </w:r>
          </w:p>
          <w:p w14:paraId="66AB16EB" w14:textId="5EA08C76" w:rsidR="004538F3" w:rsidRPr="00F80C31" w:rsidRDefault="004538F3" w:rsidP="004538F3">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F80C31">
              <w:rPr>
                <w:sz w:val="18"/>
                <w:szCs w:val="18"/>
                <w:lang w:val="en-GB" w:eastAsia="zh-CN"/>
              </w:rPr>
              <w:lastRenderedPageBreak/>
              <w:t>Technical review of all deliverables</w:t>
            </w:r>
            <w:r>
              <w:rPr>
                <w:sz w:val="18"/>
                <w:szCs w:val="18"/>
                <w:lang w:val="en-GB" w:eastAsia="zh-CN"/>
              </w:rPr>
              <w:t xml:space="preserve"> under </w:t>
            </w:r>
            <w:r w:rsidR="00530D05" w:rsidRPr="004538F3">
              <w:rPr>
                <w:sz w:val="18"/>
                <w:szCs w:val="18"/>
                <w:lang w:val="en-GB" w:eastAsia="zh-CN"/>
              </w:rPr>
              <w:t>Outcomes</w:t>
            </w:r>
            <w:r w:rsidR="004F24D5">
              <w:rPr>
                <w:sz w:val="18"/>
                <w:szCs w:val="18"/>
              </w:rPr>
              <w:t xml:space="preserve"> </w:t>
            </w:r>
            <w:r w:rsidR="004F24D5" w:rsidRPr="004538F3">
              <w:rPr>
                <w:sz w:val="18"/>
                <w:szCs w:val="18"/>
              </w:rPr>
              <w:t>1.</w:t>
            </w:r>
            <w:r w:rsidR="004F24D5">
              <w:rPr>
                <w:sz w:val="18"/>
                <w:szCs w:val="18"/>
              </w:rPr>
              <w:t xml:space="preserve">1; </w:t>
            </w:r>
            <w:r w:rsidR="004F24D5" w:rsidRPr="004538F3">
              <w:rPr>
                <w:sz w:val="18"/>
                <w:szCs w:val="18"/>
              </w:rPr>
              <w:t>1.3</w:t>
            </w:r>
            <w:r w:rsidR="004F24D5">
              <w:rPr>
                <w:sz w:val="18"/>
                <w:szCs w:val="18"/>
              </w:rPr>
              <w:t>; 4.1</w:t>
            </w:r>
            <w:r w:rsidRPr="00F80C31">
              <w:rPr>
                <w:sz w:val="18"/>
                <w:szCs w:val="18"/>
                <w:lang w:val="en-GB" w:eastAsia="zh-CN"/>
              </w:rPr>
              <w:t xml:space="preserve">; </w:t>
            </w:r>
          </w:p>
          <w:p w14:paraId="4C9B2889" w14:textId="64AEC7A9" w:rsidR="004538F3" w:rsidRPr="00F80C31" w:rsidRDefault="004538F3" w:rsidP="004538F3">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F80C31">
              <w:rPr>
                <w:sz w:val="18"/>
                <w:szCs w:val="18"/>
                <w:lang w:val="en-GB" w:eastAsia="zh-CN"/>
              </w:rPr>
              <w:t>Implementation and facilitation of workshops, meetings and trainings</w:t>
            </w:r>
            <w:r w:rsidR="00530D05">
              <w:rPr>
                <w:sz w:val="18"/>
                <w:szCs w:val="18"/>
                <w:lang w:val="en-GB" w:eastAsia="zh-CN"/>
              </w:rPr>
              <w:t xml:space="preserve"> under </w:t>
            </w:r>
            <w:r w:rsidR="00530D05" w:rsidRPr="004538F3">
              <w:rPr>
                <w:sz w:val="18"/>
                <w:szCs w:val="18"/>
                <w:lang w:val="en-GB" w:eastAsia="zh-CN"/>
              </w:rPr>
              <w:t>Outcomes</w:t>
            </w:r>
            <w:r w:rsidR="004F24D5">
              <w:rPr>
                <w:sz w:val="18"/>
                <w:szCs w:val="18"/>
              </w:rPr>
              <w:t xml:space="preserve"> </w:t>
            </w:r>
            <w:r w:rsidR="004F24D5" w:rsidRPr="004538F3">
              <w:rPr>
                <w:sz w:val="18"/>
                <w:szCs w:val="18"/>
              </w:rPr>
              <w:t>1.</w:t>
            </w:r>
            <w:r w:rsidR="004F24D5">
              <w:rPr>
                <w:sz w:val="18"/>
                <w:szCs w:val="18"/>
              </w:rPr>
              <w:t xml:space="preserve">1; </w:t>
            </w:r>
            <w:r w:rsidR="004F24D5" w:rsidRPr="004538F3">
              <w:rPr>
                <w:sz w:val="18"/>
                <w:szCs w:val="18"/>
              </w:rPr>
              <w:t>1.3</w:t>
            </w:r>
            <w:r w:rsidR="004F24D5">
              <w:rPr>
                <w:sz w:val="18"/>
                <w:szCs w:val="18"/>
              </w:rPr>
              <w:t>; 4.1</w:t>
            </w:r>
            <w:r w:rsidR="004F24D5">
              <w:rPr>
                <w:sz w:val="18"/>
                <w:szCs w:val="18"/>
                <w:lang w:val="en-GB" w:eastAsia="zh-CN"/>
              </w:rPr>
              <w:t>.</w:t>
            </w:r>
          </w:p>
          <w:p w14:paraId="776EF093" w14:textId="6D00ABE1" w:rsidR="004538F3" w:rsidRPr="00F80C31" w:rsidRDefault="004538F3" w:rsidP="004538F3">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F80C31">
              <w:rPr>
                <w:sz w:val="18"/>
                <w:szCs w:val="18"/>
                <w:lang w:val="en-GB" w:eastAsia="zh-CN"/>
              </w:rPr>
              <w:t>Evaluation and documentation of results</w:t>
            </w:r>
            <w:r w:rsidR="00530D05">
              <w:rPr>
                <w:sz w:val="18"/>
                <w:szCs w:val="18"/>
                <w:lang w:val="en-GB" w:eastAsia="zh-CN"/>
              </w:rPr>
              <w:t xml:space="preserve"> under </w:t>
            </w:r>
            <w:r w:rsidR="00530D05" w:rsidRPr="004538F3">
              <w:rPr>
                <w:sz w:val="18"/>
                <w:szCs w:val="18"/>
                <w:lang w:val="en-GB" w:eastAsia="zh-CN"/>
              </w:rPr>
              <w:t>Outcomes</w:t>
            </w:r>
            <w:r w:rsidR="004F24D5">
              <w:rPr>
                <w:sz w:val="18"/>
                <w:szCs w:val="18"/>
              </w:rPr>
              <w:t xml:space="preserve"> </w:t>
            </w:r>
            <w:r w:rsidR="004F24D5" w:rsidRPr="004538F3">
              <w:rPr>
                <w:sz w:val="18"/>
                <w:szCs w:val="18"/>
              </w:rPr>
              <w:t>1.</w:t>
            </w:r>
            <w:r w:rsidR="004F24D5">
              <w:rPr>
                <w:sz w:val="18"/>
                <w:szCs w:val="18"/>
              </w:rPr>
              <w:t xml:space="preserve">1; </w:t>
            </w:r>
            <w:r w:rsidR="004F24D5" w:rsidRPr="004538F3">
              <w:rPr>
                <w:sz w:val="18"/>
                <w:szCs w:val="18"/>
              </w:rPr>
              <w:t>1.3</w:t>
            </w:r>
            <w:r w:rsidR="004F24D5">
              <w:rPr>
                <w:sz w:val="18"/>
                <w:szCs w:val="18"/>
              </w:rPr>
              <w:t>; 4.1.</w:t>
            </w:r>
            <w:r w:rsidRPr="00F80C31">
              <w:rPr>
                <w:sz w:val="18"/>
                <w:szCs w:val="18"/>
                <w:lang w:val="en-GB" w:eastAsia="zh-CN"/>
              </w:rPr>
              <w:t xml:space="preserve"> </w:t>
            </w:r>
          </w:p>
          <w:p w14:paraId="3DF288FE" w14:textId="76102B50" w:rsidR="00F37B98" w:rsidRPr="00A4458A" w:rsidRDefault="004538F3" w:rsidP="004538F3">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F80C31">
              <w:rPr>
                <w:sz w:val="18"/>
                <w:szCs w:val="18"/>
                <w:lang w:val="en-GB" w:eastAsia="zh-CN"/>
              </w:rPr>
              <w:t>Support interim progress reports, and competition report.</w:t>
            </w:r>
          </w:p>
        </w:tc>
        <w:tc>
          <w:tcPr>
            <w:tcW w:w="1194" w:type="pct"/>
          </w:tcPr>
          <w:p w14:paraId="037FAECE" w14:textId="7CE1107B" w:rsidR="00C35984" w:rsidRPr="00C35984" w:rsidRDefault="00C3598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C35984">
              <w:rPr>
                <w:sz w:val="18"/>
                <w:szCs w:val="18"/>
              </w:rPr>
              <w:lastRenderedPageBreak/>
              <w:t>Higher degree in finance, public finance, economics, development economics, statistics, public administration, management</w:t>
            </w:r>
            <w:r>
              <w:rPr>
                <w:sz w:val="18"/>
                <w:szCs w:val="18"/>
              </w:rPr>
              <w:t>, natural sciences</w:t>
            </w:r>
            <w:r w:rsidRPr="00C35984">
              <w:rPr>
                <w:sz w:val="18"/>
                <w:szCs w:val="18"/>
              </w:rPr>
              <w:t xml:space="preserve"> or other relevant field;</w:t>
            </w:r>
          </w:p>
          <w:p w14:paraId="5461C6AA" w14:textId="2059CD87" w:rsidR="00C35984" w:rsidRPr="00C35984" w:rsidRDefault="00C3598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C35984">
              <w:rPr>
                <w:sz w:val="18"/>
                <w:szCs w:val="18"/>
              </w:rPr>
              <w:t xml:space="preserve">Minimum </w:t>
            </w:r>
            <w:r>
              <w:rPr>
                <w:sz w:val="18"/>
                <w:szCs w:val="18"/>
              </w:rPr>
              <w:t>5</w:t>
            </w:r>
            <w:r w:rsidRPr="00C35984">
              <w:rPr>
                <w:sz w:val="18"/>
                <w:szCs w:val="18"/>
              </w:rPr>
              <w:t xml:space="preserve"> years of relevant professional experience in the field of economics, public finance, private finance, or other relevant fields, including public finance </w:t>
            </w:r>
            <w:r w:rsidRPr="00C35984">
              <w:rPr>
                <w:sz w:val="18"/>
                <w:szCs w:val="18"/>
              </w:rPr>
              <w:lastRenderedPageBreak/>
              <w:t>management; policy advice, policy design, policy impact evaluation.</w:t>
            </w:r>
          </w:p>
          <w:p w14:paraId="460F3994" w14:textId="77777777" w:rsidR="00C35984" w:rsidRPr="00C35984" w:rsidRDefault="00C3598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C35984">
              <w:rPr>
                <w:sz w:val="18"/>
                <w:szCs w:val="18"/>
              </w:rPr>
              <w:t>Proven experience of working with/in international organizations’ programme and projects in managing capacity;</w:t>
            </w:r>
          </w:p>
          <w:p w14:paraId="5120CA17" w14:textId="77777777" w:rsidR="00C35984" w:rsidRPr="00C35984" w:rsidRDefault="00C3598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C35984">
              <w:rPr>
                <w:sz w:val="18"/>
                <w:szCs w:val="18"/>
              </w:rPr>
              <w:t>Experience of private sector engagement for sustainable development and mobilization of private finance is an asset.</w:t>
            </w:r>
          </w:p>
          <w:p w14:paraId="1C7E5291" w14:textId="71F5C0B3" w:rsidR="00F37B98" w:rsidRPr="00883BC2" w:rsidRDefault="00C3598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C35984">
              <w:rPr>
                <w:sz w:val="18"/>
                <w:szCs w:val="18"/>
              </w:rPr>
              <w:t>Spoken and written proficiency in Russian and English; Kyrgyz language proficiency is desirable.</w:t>
            </w:r>
          </w:p>
        </w:tc>
        <w:tc>
          <w:tcPr>
            <w:tcW w:w="324" w:type="pct"/>
          </w:tcPr>
          <w:p w14:paraId="3532336F" w14:textId="6C5B5AE5" w:rsidR="00F37B98" w:rsidRPr="00B6517B" w:rsidRDefault="00AA10F9">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lastRenderedPageBreak/>
              <w:t>AC</w:t>
            </w:r>
          </w:p>
        </w:tc>
      </w:tr>
      <w:tr w:rsidR="00F37B98" w:rsidRPr="00450B52" w14:paraId="1F8603CC" w14:textId="77777777" w:rsidTr="00F80EF7">
        <w:tc>
          <w:tcPr>
            <w:cnfStyle w:val="001000000000" w:firstRow="0" w:lastRow="0" w:firstColumn="1" w:lastColumn="0" w:oddVBand="0" w:evenVBand="0" w:oddHBand="0" w:evenHBand="0" w:firstRowFirstColumn="0" w:firstRowLastColumn="0" w:lastRowFirstColumn="0" w:lastRowLastColumn="0"/>
            <w:tcW w:w="385" w:type="pct"/>
          </w:tcPr>
          <w:p w14:paraId="01B36FB1" w14:textId="5AB68D02" w:rsidR="00F37B98" w:rsidRDefault="009669D1">
            <w:pPr>
              <w:rPr>
                <w:color w:val="808080" w:themeColor="background1" w:themeShade="80"/>
                <w:sz w:val="18"/>
                <w:szCs w:val="18"/>
              </w:rPr>
            </w:pPr>
            <w:r>
              <w:rPr>
                <w:color w:val="808080" w:themeColor="background1" w:themeShade="80"/>
                <w:sz w:val="18"/>
                <w:szCs w:val="18"/>
              </w:rPr>
              <w:t>DP</w:t>
            </w:r>
          </w:p>
        </w:tc>
        <w:tc>
          <w:tcPr>
            <w:tcW w:w="613" w:type="pct"/>
          </w:tcPr>
          <w:p w14:paraId="5BD095C4" w14:textId="7A70FB6A" w:rsidR="004F24D5" w:rsidRDefault="00F37B98" w:rsidP="004F24D5">
            <w:pPr>
              <w:spacing w:after="12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Programme Team Leader/Sustainable Economic Development Progra</w:t>
            </w:r>
            <w:r w:rsidR="00573A82">
              <w:rPr>
                <w:sz w:val="18"/>
                <w:szCs w:val="18"/>
              </w:rPr>
              <w:t>m</w:t>
            </w:r>
            <w:r>
              <w:rPr>
                <w:sz w:val="18"/>
                <w:szCs w:val="18"/>
              </w:rPr>
              <w:t>me Specialist</w:t>
            </w:r>
            <w:r w:rsidR="004F24D5">
              <w:rPr>
                <w:sz w:val="18"/>
                <w:szCs w:val="18"/>
              </w:rPr>
              <w:t xml:space="preserve"> (UNDP CO)</w:t>
            </w:r>
          </w:p>
        </w:tc>
        <w:tc>
          <w:tcPr>
            <w:tcW w:w="842" w:type="pct"/>
          </w:tcPr>
          <w:p w14:paraId="4928791C" w14:textId="77777777" w:rsidR="00F37B98" w:rsidRDefault="00FB6CBB"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1.1.3</w:t>
            </w:r>
          </w:p>
          <w:p w14:paraId="1081B2E9" w14:textId="77777777" w:rsidR="00FF0238" w:rsidRDefault="0038489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1.3.1</w:t>
            </w:r>
          </w:p>
          <w:p w14:paraId="6ED2C0A1" w14:textId="77777777" w:rsidR="00384892" w:rsidRDefault="0038489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2.2.5</w:t>
            </w:r>
          </w:p>
          <w:p w14:paraId="6452CFC3" w14:textId="77777777" w:rsidR="00384892" w:rsidRDefault="000078AD"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2.2.6</w:t>
            </w:r>
          </w:p>
          <w:p w14:paraId="11B80C76" w14:textId="77777777" w:rsidR="000078AD" w:rsidRDefault="000078AD"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2.4.1</w:t>
            </w:r>
          </w:p>
          <w:p w14:paraId="1221EA1E" w14:textId="77777777" w:rsidR="000078AD" w:rsidRDefault="000078AD"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4.1.1</w:t>
            </w:r>
          </w:p>
          <w:p w14:paraId="6A0DC1BB" w14:textId="58CAE619" w:rsidR="000078AD" w:rsidRDefault="000078AD"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5.1.</w:t>
            </w:r>
            <w:r w:rsidR="00466223">
              <w:rPr>
                <w:sz w:val="18"/>
                <w:szCs w:val="18"/>
              </w:rPr>
              <w:t>1</w:t>
            </w:r>
          </w:p>
          <w:p w14:paraId="6C0E7072" w14:textId="40A5B90D" w:rsidR="000078AD" w:rsidRPr="00AF6870" w:rsidRDefault="00466223"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5.1.2</w:t>
            </w:r>
          </w:p>
        </w:tc>
        <w:tc>
          <w:tcPr>
            <w:tcW w:w="1642" w:type="pct"/>
          </w:tcPr>
          <w:p w14:paraId="75E3A8B6" w14:textId="7B140469" w:rsidR="00902F70" w:rsidRPr="00902F70" w:rsidRDefault="00902F70" w:rsidP="00902F7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902F70">
              <w:rPr>
                <w:sz w:val="18"/>
                <w:szCs w:val="18"/>
                <w:lang w:val="en-GB" w:eastAsia="zh-CN"/>
              </w:rPr>
              <w:t>Oversight the coordination, monitoring and review of reporting to ensure coherence and timely implementation</w:t>
            </w:r>
            <w:r w:rsidR="00530D05">
              <w:rPr>
                <w:sz w:val="18"/>
                <w:szCs w:val="18"/>
                <w:lang w:val="en-GB" w:eastAsia="zh-CN"/>
              </w:rPr>
              <w:t>.</w:t>
            </w:r>
            <w:r w:rsidRPr="00902F70">
              <w:rPr>
                <w:sz w:val="18"/>
                <w:szCs w:val="18"/>
                <w:lang w:val="en-GB" w:eastAsia="zh-CN"/>
              </w:rPr>
              <w:t xml:space="preserve"> </w:t>
            </w:r>
          </w:p>
          <w:p w14:paraId="6A871855" w14:textId="46C903F3" w:rsidR="00902F70" w:rsidRPr="00902F70" w:rsidRDefault="00902F70" w:rsidP="00902F7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902F70">
              <w:rPr>
                <w:sz w:val="18"/>
                <w:szCs w:val="18"/>
                <w:lang w:val="en-GB" w:eastAsia="zh-CN"/>
              </w:rPr>
              <w:t>Supports NDA</w:t>
            </w:r>
            <w:r w:rsidR="00D94E98">
              <w:rPr>
                <w:sz w:val="18"/>
                <w:szCs w:val="18"/>
                <w:lang w:val="en-GB" w:eastAsia="zh-CN"/>
              </w:rPr>
              <w:t xml:space="preserve">, </w:t>
            </w:r>
            <w:proofErr w:type="spellStart"/>
            <w:r w:rsidR="00D94E98">
              <w:rPr>
                <w:sz w:val="18"/>
                <w:szCs w:val="18"/>
                <w:lang w:val="en-GB" w:eastAsia="zh-CN"/>
              </w:rPr>
              <w:t>MoEC</w:t>
            </w:r>
            <w:proofErr w:type="spellEnd"/>
            <w:r w:rsidR="00D94E98">
              <w:rPr>
                <w:sz w:val="18"/>
                <w:szCs w:val="18"/>
                <w:lang w:val="en-GB" w:eastAsia="zh-CN"/>
              </w:rPr>
              <w:t>, financial institutions</w:t>
            </w:r>
            <w:r w:rsidRPr="00902F70">
              <w:rPr>
                <w:sz w:val="18"/>
                <w:szCs w:val="18"/>
                <w:lang w:val="en-GB" w:eastAsia="zh-CN"/>
              </w:rPr>
              <w:t xml:space="preserve"> in improving institutional and strategic frameworks, process design, etc. </w:t>
            </w:r>
          </w:p>
          <w:p w14:paraId="00FCBA02" w14:textId="70B63F69" w:rsidR="00F37B98" w:rsidRPr="00A4458A" w:rsidRDefault="00902F70" w:rsidP="00902F70">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902F70">
              <w:rPr>
                <w:sz w:val="18"/>
                <w:szCs w:val="18"/>
                <w:lang w:val="en-GB" w:eastAsia="zh-CN"/>
              </w:rPr>
              <w:t>Supervision and coordination of consultants and service providers; Quality control of all deliverables.</w:t>
            </w:r>
          </w:p>
        </w:tc>
        <w:tc>
          <w:tcPr>
            <w:tcW w:w="1194" w:type="pct"/>
          </w:tcPr>
          <w:p w14:paraId="590C1061" w14:textId="282BBAE6" w:rsidR="008E0D37" w:rsidRPr="00A854B6" w:rsidRDefault="008E0D37" w:rsidP="00163FD5">
            <w:pPr>
              <w:pStyle w:val="Default"/>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854B6">
              <w:rPr>
                <w:rFonts w:ascii="Arial" w:hAnsi="Arial" w:cs="Arial"/>
                <w:sz w:val="18"/>
                <w:szCs w:val="18"/>
                <w:lang w:val="en-GB"/>
              </w:rPr>
              <w:t xml:space="preserve">Master’s degree in economic or social science studies or another relevant field </w:t>
            </w:r>
          </w:p>
          <w:p w14:paraId="3EDD4CEE" w14:textId="07EA96C9" w:rsidR="008E0D37" w:rsidRPr="00A854B6" w:rsidRDefault="008E0D37" w:rsidP="00163FD5">
            <w:pPr>
              <w:pStyle w:val="Default"/>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854B6">
              <w:rPr>
                <w:rFonts w:ascii="Arial" w:hAnsi="Arial" w:cs="Arial"/>
                <w:sz w:val="18"/>
                <w:szCs w:val="18"/>
                <w:lang w:val="en-GB"/>
              </w:rPr>
              <w:t xml:space="preserve">Multiple years of experience in international development cooperation and </w:t>
            </w:r>
            <w:r w:rsidR="00173872" w:rsidRPr="00A854B6">
              <w:rPr>
                <w:rFonts w:ascii="Arial" w:hAnsi="Arial" w:cs="Arial"/>
                <w:sz w:val="18"/>
                <w:szCs w:val="18"/>
                <w:lang w:val="en-GB"/>
              </w:rPr>
              <w:t>economic policy formulation</w:t>
            </w:r>
            <w:r w:rsidRPr="00A854B6">
              <w:rPr>
                <w:rFonts w:ascii="Arial" w:hAnsi="Arial" w:cs="Arial"/>
                <w:sz w:val="18"/>
                <w:szCs w:val="18"/>
                <w:lang w:val="en-GB"/>
              </w:rPr>
              <w:t xml:space="preserve"> </w:t>
            </w:r>
          </w:p>
          <w:p w14:paraId="4ADD0B52" w14:textId="40931990" w:rsidR="008E0D37" w:rsidRPr="00A854B6" w:rsidRDefault="008E0D37" w:rsidP="00163FD5">
            <w:pPr>
              <w:pStyle w:val="Default"/>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854B6">
              <w:rPr>
                <w:rFonts w:ascii="Arial" w:hAnsi="Arial" w:cs="Arial"/>
                <w:sz w:val="18"/>
                <w:szCs w:val="18"/>
                <w:lang w:val="en-GB"/>
              </w:rPr>
              <w:t xml:space="preserve">Several years of experience in working with capacity building </w:t>
            </w:r>
            <w:r w:rsidR="00173872" w:rsidRPr="00A854B6">
              <w:rPr>
                <w:rFonts w:ascii="Arial" w:hAnsi="Arial" w:cs="Arial"/>
                <w:sz w:val="18"/>
                <w:szCs w:val="18"/>
                <w:lang w:val="en-GB"/>
              </w:rPr>
              <w:t>economic manageme</w:t>
            </w:r>
            <w:r w:rsidR="0043182C">
              <w:rPr>
                <w:rFonts w:ascii="Arial" w:hAnsi="Arial" w:cs="Arial"/>
                <w:sz w:val="18"/>
                <w:szCs w:val="18"/>
                <w:lang w:val="en-GB"/>
              </w:rPr>
              <w:t>n</w:t>
            </w:r>
            <w:r w:rsidR="00173872" w:rsidRPr="00A854B6">
              <w:rPr>
                <w:rFonts w:ascii="Arial" w:hAnsi="Arial" w:cs="Arial"/>
                <w:sz w:val="18"/>
                <w:szCs w:val="18"/>
                <w:lang w:val="en-GB"/>
              </w:rPr>
              <w:t>t</w:t>
            </w:r>
            <w:r w:rsidRPr="00A854B6">
              <w:rPr>
                <w:rFonts w:ascii="Arial" w:hAnsi="Arial" w:cs="Arial"/>
                <w:sz w:val="18"/>
                <w:szCs w:val="18"/>
                <w:lang w:val="en-GB"/>
              </w:rPr>
              <w:t xml:space="preserve"> </w:t>
            </w:r>
          </w:p>
          <w:p w14:paraId="1D081FDC" w14:textId="30FE40BD" w:rsidR="008E0D37" w:rsidRPr="00A854B6" w:rsidRDefault="008E0D37" w:rsidP="00163FD5">
            <w:pPr>
              <w:pStyle w:val="Default"/>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A854B6">
              <w:rPr>
                <w:rFonts w:ascii="Arial" w:hAnsi="Arial" w:cs="Arial"/>
                <w:sz w:val="18"/>
                <w:szCs w:val="18"/>
                <w:lang w:val="en-GB"/>
              </w:rPr>
              <w:t xml:space="preserve">Good knowledge of barriers, national institutions related to climate change and access to climate finance is an asset </w:t>
            </w:r>
          </w:p>
          <w:p w14:paraId="7A78841D" w14:textId="77777777" w:rsidR="00F37B98" w:rsidRPr="008E0D37" w:rsidRDefault="00F37B98" w:rsidP="008E0D37">
            <w:pPr>
              <w:cnfStyle w:val="000000000000" w:firstRow="0" w:lastRow="0" w:firstColumn="0" w:lastColumn="0" w:oddVBand="0" w:evenVBand="0" w:oddHBand="0" w:evenHBand="0" w:firstRowFirstColumn="0" w:firstRowLastColumn="0" w:lastRowFirstColumn="0" w:lastRowLastColumn="0"/>
              <w:rPr>
                <w:sz w:val="18"/>
                <w:szCs w:val="18"/>
              </w:rPr>
            </w:pPr>
          </w:p>
        </w:tc>
        <w:tc>
          <w:tcPr>
            <w:tcW w:w="324" w:type="pct"/>
          </w:tcPr>
          <w:p w14:paraId="7C713EE0" w14:textId="5521A5E2" w:rsidR="00F37B98" w:rsidRPr="00B6517B" w:rsidRDefault="009D13C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In-kind</w:t>
            </w:r>
          </w:p>
        </w:tc>
      </w:tr>
      <w:tr w:rsidR="009669D1" w:rsidRPr="00450B52" w14:paraId="141C78D4"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43F51E5E" w14:textId="68C759F8" w:rsidR="009669D1" w:rsidRDefault="00044299">
            <w:pPr>
              <w:rPr>
                <w:color w:val="808080" w:themeColor="background1" w:themeShade="80"/>
                <w:sz w:val="18"/>
                <w:szCs w:val="18"/>
              </w:rPr>
            </w:pPr>
            <w:r>
              <w:rPr>
                <w:color w:val="808080" w:themeColor="background1" w:themeShade="80"/>
                <w:sz w:val="18"/>
                <w:szCs w:val="18"/>
              </w:rPr>
              <w:t>DP</w:t>
            </w:r>
          </w:p>
        </w:tc>
        <w:tc>
          <w:tcPr>
            <w:tcW w:w="613" w:type="pct"/>
          </w:tcPr>
          <w:p w14:paraId="2D9AE3ED" w14:textId="66488120" w:rsidR="009669D1" w:rsidRDefault="009669D1">
            <w:pPr>
              <w:spacing w:after="12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Programme Team Leader/Climate Change, Environmen</w:t>
            </w:r>
            <w:r w:rsidR="0043182C">
              <w:rPr>
                <w:sz w:val="18"/>
                <w:szCs w:val="18"/>
              </w:rPr>
              <w:t>t</w:t>
            </w:r>
            <w:r>
              <w:rPr>
                <w:sz w:val="18"/>
                <w:szCs w:val="18"/>
              </w:rPr>
              <w:t xml:space="preserve"> and Energy Programme Specialist</w:t>
            </w:r>
            <w:r w:rsidR="004F24D5">
              <w:rPr>
                <w:sz w:val="18"/>
                <w:szCs w:val="18"/>
              </w:rPr>
              <w:t xml:space="preserve"> (UNDP CO)</w:t>
            </w:r>
          </w:p>
        </w:tc>
        <w:tc>
          <w:tcPr>
            <w:tcW w:w="842" w:type="pct"/>
          </w:tcPr>
          <w:p w14:paraId="41DCF922" w14:textId="77777777" w:rsidR="00440864" w:rsidRDefault="0044086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1.1.3</w:t>
            </w:r>
          </w:p>
          <w:p w14:paraId="554E75F3" w14:textId="77777777" w:rsidR="00440864" w:rsidRDefault="0044086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1.3.1</w:t>
            </w:r>
          </w:p>
          <w:p w14:paraId="3E0FDAFF" w14:textId="77777777" w:rsidR="00440864" w:rsidRDefault="0044086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2.2.5</w:t>
            </w:r>
          </w:p>
          <w:p w14:paraId="01513BD0" w14:textId="77777777" w:rsidR="00440864" w:rsidRDefault="0044086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2.2.6</w:t>
            </w:r>
          </w:p>
          <w:p w14:paraId="24703F81" w14:textId="77777777" w:rsidR="00440864" w:rsidRDefault="0044086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2.4.1</w:t>
            </w:r>
          </w:p>
          <w:p w14:paraId="01410066" w14:textId="77777777" w:rsidR="00440864" w:rsidRDefault="0044086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4.1.1</w:t>
            </w:r>
          </w:p>
          <w:p w14:paraId="35B90170" w14:textId="77777777" w:rsidR="00440864" w:rsidRDefault="00440864"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5.1.1</w:t>
            </w:r>
          </w:p>
          <w:p w14:paraId="2A26C487" w14:textId="1579069D" w:rsidR="009669D1" w:rsidRPr="00440864" w:rsidRDefault="00440864" w:rsidP="00163FD5">
            <w:pPr>
              <w:pStyle w:val="ListParagraph"/>
              <w:numPr>
                <w:ilvl w:val="0"/>
                <w:numId w:val="27"/>
              </w:numPr>
              <w:spacing w:after="120"/>
              <w:cnfStyle w:val="000000100000" w:firstRow="0" w:lastRow="0" w:firstColumn="0" w:lastColumn="0" w:oddVBand="0" w:evenVBand="0" w:oddHBand="1" w:evenHBand="0" w:firstRowFirstColumn="0" w:firstRowLastColumn="0" w:lastRowFirstColumn="0" w:lastRowLastColumn="0"/>
              <w:rPr>
                <w:sz w:val="18"/>
                <w:szCs w:val="18"/>
              </w:rPr>
            </w:pPr>
            <w:r w:rsidRPr="00440864">
              <w:rPr>
                <w:sz w:val="18"/>
                <w:szCs w:val="18"/>
              </w:rPr>
              <w:t>5.1.2</w:t>
            </w:r>
          </w:p>
        </w:tc>
        <w:tc>
          <w:tcPr>
            <w:tcW w:w="1642" w:type="pct"/>
          </w:tcPr>
          <w:p w14:paraId="4603C429" w14:textId="12F0A91D" w:rsidR="005B1842" w:rsidRPr="00902F70" w:rsidRDefault="005B1842" w:rsidP="005B184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902F70">
              <w:rPr>
                <w:sz w:val="18"/>
                <w:szCs w:val="18"/>
                <w:lang w:val="en-GB" w:eastAsia="zh-CN"/>
              </w:rPr>
              <w:t xml:space="preserve">Supports NDA in improving </w:t>
            </w:r>
            <w:r w:rsidR="00D12B08">
              <w:rPr>
                <w:sz w:val="18"/>
                <w:szCs w:val="18"/>
                <w:lang w:val="en-GB" w:eastAsia="zh-CN"/>
              </w:rPr>
              <w:t xml:space="preserve">climate change related </w:t>
            </w:r>
            <w:r w:rsidRPr="00902F70">
              <w:rPr>
                <w:sz w:val="18"/>
                <w:szCs w:val="18"/>
                <w:lang w:val="en-GB" w:eastAsia="zh-CN"/>
              </w:rPr>
              <w:t xml:space="preserve">institutional and strategic frameworks, process design, etc. </w:t>
            </w:r>
          </w:p>
          <w:p w14:paraId="2C4E492F" w14:textId="5A8B4DE1" w:rsidR="009669D1" w:rsidRPr="00A4458A" w:rsidRDefault="005B1842" w:rsidP="005B1842">
            <w:pPr>
              <w:spacing w:after="120"/>
              <w:cnfStyle w:val="000000100000" w:firstRow="0" w:lastRow="0" w:firstColumn="0" w:lastColumn="0" w:oddVBand="0" w:evenVBand="0" w:oddHBand="1" w:evenHBand="0" w:firstRowFirstColumn="0" w:firstRowLastColumn="0" w:lastRowFirstColumn="0" w:lastRowLastColumn="0"/>
              <w:rPr>
                <w:sz w:val="18"/>
                <w:szCs w:val="18"/>
                <w:lang w:val="en-GB" w:eastAsia="zh-CN"/>
              </w:rPr>
            </w:pPr>
            <w:r w:rsidRPr="00902F70">
              <w:rPr>
                <w:sz w:val="18"/>
                <w:szCs w:val="18"/>
                <w:lang w:val="en-GB" w:eastAsia="zh-CN"/>
              </w:rPr>
              <w:t>Supervision and coordination of consultants and service providers; Quality control of deliverables</w:t>
            </w:r>
            <w:r w:rsidR="002864C4">
              <w:rPr>
                <w:sz w:val="18"/>
                <w:szCs w:val="18"/>
                <w:lang w:val="en-GB" w:eastAsia="zh-CN"/>
              </w:rPr>
              <w:t xml:space="preserve"> related to </w:t>
            </w:r>
            <w:r w:rsidR="00D12B08">
              <w:rPr>
                <w:sz w:val="18"/>
                <w:szCs w:val="18"/>
                <w:lang w:val="en-GB" w:eastAsia="zh-CN"/>
              </w:rPr>
              <w:t>mitigation potential</w:t>
            </w:r>
            <w:r w:rsidRPr="00902F70">
              <w:rPr>
                <w:sz w:val="18"/>
                <w:szCs w:val="18"/>
                <w:lang w:val="en-GB" w:eastAsia="zh-CN"/>
              </w:rPr>
              <w:t>.</w:t>
            </w:r>
          </w:p>
        </w:tc>
        <w:tc>
          <w:tcPr>
            <w:tcW w:w="1194" w:type="pct"/>
          </w:tcPr>
          <w:p w14:paraId="5D1EACDD" w14:textId="0EA8EA49" w:rsidR="00262D8C" w:rsidRPr="00A854B6" w:rsidRDefault="00262D8C" w:rsidP="00163FD5">
            <w:pPr>
              <w:pStyle w:val="Default"/>
              <w:numPr>
                <w:ilvl w:val="0"/>
                <w:numId w:val="27"/>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854B6">
              <w:rPr>
                <w:rFonts w:ascii="Arial" w:hAnsi="Arial" w:cs="Arial"/>
                <w:sz w:val="18"/>
                <w:szCs w:val="18"/>
                <w:lang w:val="en-GB"/>
              </w:rPr>
              <w:t xml:space="preserve">Master’s degree in </w:t>
            </w:r>
            <w:r w:rsidR="002D5B8C" w:rsidRPr="00A854B6">
              <w:rPr>
                <w:rFonts w:ascii="Arial" w:hAnsi="Arial" w:cs="Arial"/>
                <w:sz w:val="18"/>
                <w:szCs w:val="18"/>
                <w:lang w:val="en-GB"/>
              </w:rPr>
              <w:t>natural</w:t>
            </w:r>
            <w:r w:rsidRPr="00A854B6">
              <w:rPr>
                <w:rFonts w:ascii="Arial" w:hAnsi="Arial" w:cs="Arial"/>
                <w:sz w:val="18"/>
                <w:szCs w:val="18"/>
                <w:lang w:val="en-GB"/>
              </w:rPr>
              <w:t xml:space="preserve"> or social science studies or another relevant field </w:t>
            </w:r>
          </w:p>
          <w:p w14:paraId="7CDA7249" w14:textId="1D884BCC" w:rsidR="00262D8C" w:rsidRPr="00A854B6" w:rsidRDefault="00262D8C" w:rsidP="00163FD5">
            <w:pPr>
              <w:pStyle w:val="Default"/>
              <w:numPr>
                <w:ilvl w:val="0"/>
                <w:numId w:val="27"/>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854B6">
              <w:rPr>
                <w:rFonts w:ascii="Arial" w:hAnsi="Arial" w:cs="Arial"/>
                <w:sz w:val="18"/>
                <w:szCs w:val="18"/>
                <w:lang w:val="en-GB"/>
              </w:rPr>
              <w:t>Multiple years of experience in international development cooperation</w:t>
            </w:r>
            <w:r w:rsidR="00BB3473" w:rsidRPr="00A854B6">
              <w:rPr>
                <w:rFonts w:ascii="Arial" w:hAnsi="Arial" w:cs="Arial"/>
                <w:sz w:val="18"/>
                <w:szCs w:val="18"/>
                <w:lang w:val="en-GB"/>
              </w:rPr>
              <w:t>,</w:t>
            </w:r>
            <w:r w:rsidRPr="00A854B6">
              <w:rPr>
                <w:rFonts w:ascii="Arial" w:hAnsi="Arial" w:cs="Arial"/>
                <w:sz w:val="18"/>
                <w:szCs w:val="18"/>
                <w:lang w:val="en-GB"/>
              </w:rPr>
              <w:t xml:space="preserve"> climate </w:t>
            </w:r>
            <w:r w:rsidR="00BB3473" w:rsidRPr="00A854B6">
              <w:rPr>
                <w:rFonts w:ascii="Arial" w:hAnsi="Arial" w:cs="Arial"/>
                <w:sz w:val="18"/>
                <w:szCs w:val="18"/>
                <w:lang w:val="en-GB"/>
              </w:rPr>
              <w:t>change, biodiversity</w:t>
            </w:r>
          </w:p>
          <w:p w14:paraId="635F5480" w14:textId="58671CA4" w:rsidR="00262D8C" w:rsidRPr="00A854B6" w:rsidRDefault="00262D8C" w:rsidP="00163FD5">
            <w:pPr>
              <w:pStyle w:val="Default"/>
              <w:numPr>
                <w:ilvl w:val="0"/>
                <w:numId w:val="27"/>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854B6">
              <w:rPr>
                <w:rFonts w:ascii="Arial" w:hAnsi="Arial" w:cs="Arial"/>
                <w:sz w:val="18"/>
                <w:szCs w:val="18"/>
                <w:lang w:val="en-GB"/>
              </w:rPr>
              <w:t xml:space="preserve">Several years of experience in working with capacity building and climate change </w:t>
            </w:r>
          </w:p>
          <w:p w14:paraId="5B39A79D" w14:textId="10D094EC" w:rsidR="00262D8C" w:rsidRPr="00A854B6" w:rsidRDefault="00262D8C" w:rsidP="00163FD5">
            <w:pPr>
              <w:pStyle w:val="Default"/>
              <w:numPr>
                <w:ilvl w:val="0"/>
                <w:numId w:val="27"/>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A854B6">
              <w:rPr>
                <w:rFonts w:ascii="Arial" w:hAnsi="Arial" w:cs="Arial"/>
                <w:sz w:val="18"/>
                <w:szCs w:val="18"/>
                <w:lang w:val="en-GB"/>
              </w:rPr>
              <w:t xml:space="preserve">Good knowledge of GCF access modalities and challenges and </w:t>
            </w:r>
            <w:r w:rsidRPr="00A854B6">
              <w:rPr>
                <w:rFonts w:ascii="Arial" w:hAnsi="Arial" w:cs="Arial"/>
                <w:sz w:val="18"/>
                <w:szCs w:val="18"/>
                <w:lang w:val="en-GB"/>
              </w:rPr>
              <w:lastRenderedPageBreak/>
              <w:t xml:space="preserve">barriers, national institutions related to climate change is an asset </w:t>
            </w:r>
          </w:p>
          <w:p w14:paraId="525A5741" w14:textId="77777777" w:rsidR="009669D1" w:rsidRPr="00A854B6" w:rsidRDefault="009669D1" w:rsidP="00262D8C">
            <w:pPr>
              <w:cnfStyle w:val="000000100000" w:firstRow="0" w:lastRow="0" w:firstColumn="0" w:lastColumn="0" w:oddVBand="0" w:evenVBand="0" w:oddHBand="1" w:evenHBand="0" w:firstRowFirstColumn="0" w:firstRowLastColumn="0" w:lastRowFirstColumn="0" w:lastRowLastColumn="0"/>
              <w:rPr>
                <w:sz w:val="18"/>
                <w:szCs w:val="18"/>
                <w:lang w:val="en-GB"/>
              </w:rPr>
            </w:pPr>
          </w:p>
        </w:tc>
        <w:tc>
          <w:tcPr>
            <w:tcW w:w="324" w:type="pct"/>
          </w:tcPr>
          <w:p w14:paraId="6ED247E1" w14:textId="766DE45D" w:rsidR="009669D1" w:rsidRPr="00B6517B" w:rsidRDefault="009D13C4">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lastRenderedPageBreak/>
              <w:t>In-kind</w:t>
            </w:r>
          </w:p>
        </w:tc>
      </w:tr>
      <w:tr w:rsidR="00F37B98" w:rsidRPr="00450B52" w14:paraId="4F9BCDF6" w14:textId="77777777" w:rsidTr="00F80EF7">
        <w:tc>
          <w:tcPr>
            <w:cnfStyle w:val="001000000000" w:firstRow="0" w:lastRow="0" w:firstColumn="1" w:lastColumn="0" w:oddVBand="0" w:evenVBand="0" w:oddHBand="0" w:evenHBand="0" w:firstRowFirstColumn="0" w:firstRowLastColumn="0" w:lastRowFirstColumn="0" w:lastRowLastColumn="0"/>
            <w:tcW w:w="385" w:type="pct"/>
          </w:tcPr>
          <w:p w14:paraId="141F4F29" w14:textId="42D375B5" w:rsidR="00F37B98" w:rsidRDefault="00044299">
            <w:pPr>
              <w:rPr>
                <w:color w:val="808080" w:themeColor="background1" w:themeShade="80"/>
                <w:sz w:val="18"/>
                <w:szCs w:val="18"/>
              </w:rPr>
            </w:pPr>
            <w:r>
              <w:rPr>
                <w:color w:val="808080" w:themeColor="background1" w:themeShade="80"/>
                <w:sz w:val="18"/>
                <w:szCs w:val="18"/>
              </w:rPr>
              <w:t>DP</w:t>
            </w:r>
          </w:p>
        </w:tc>
        <w:tc>
          <w:tcPr>
            <w:tcW w:w="613" w:type="pct"/>
          </w:tcPr>
          <w:p w14:paraId="102C9A95" w14:textId="71016D71" w:rsidR="004F24D5" w:rsidRDefault="00F37B98">
            <w:pPr>
              <w:spacing w:after="12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Procurement Specialist</w:t>
            </w:r>
            <w:r w:rsidR="004F24D5">
              <w:rPr>
                <w:sz w:val="18"/>
                <w:szCs w:val="18"/>
              </w:rPr>
              <w:t xml:space="preserve"> (PMU)</w:t>
            </w:r>
          </w:p>
        </w:tc>
        <w:tc>
          <w:tcPr>
            <w:tcW w:w="842" w:type="pct"/>
          </w:tcPr>
          <w:p w14:paraId="184C8B9F" w14:textId="77777777" w:rsidR="00D022D2" w:rsidRDefault="00D022D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1.1.3</w:t>
            </w:r>
          </w:p>
          <w:p w14:paraId="4B950D6E" w14:textId="77777777" w:rsidR="00D022D2" w:rsidRDefault="00D022D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1.3.1</w:t>
            </w:r>
          </w:p>
          <w:p w14:paraId="3031176B" w14:textId="77777777" w:rsidR="00D022D2" w:rsidRDefault="00D022D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2.2.5</w:t>
            </w:r>
          </w:p>
          <w:p w14:paraId="665C3145" w14:textId="77777777" w:rsidR="00D022D2" w:rsidRDefault="00D022D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2.2.6</w:t>
            </w:r>
          </w:p>
          <w:p w14:paraId="79DB1641" w14:textId="77777777" w:rsidR="00D022D2" w:rsidRDefault="00D022D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2.4.1</w:t>
            </w:r>
          </w:p>
          <w:p w14:paraId="64F1B4EC" w14:textId="77777777" w:rsidR="00D022D2" w:rsidRDefault="00D022D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4.1.1</w:t>
            </w:r>
          </w:p>
          <w:p w14:paraId="27B69E93" w14:textId="77777777" w:rsidR="00D022D2" w:rsidRDefault="00D022D2"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5.1.1</w:t>
            </w:r>
          </w:p>
          <w:p w14:paraId="1A3312EF" w14:textId="23EE22E7" w:rsidR="00F37B98" w:rsidRPr="00D022D2" w:rsidRDefault="00D022D2" w:rsidP="00163FD5">
            <w:pPr>
              <w:pStyle w:val="ListParagraph"/>
              <w:numPr>
                <w:ilvl w:val="0"/>
                <w:numId w:val="27"/>
              </w:numPr>
              <w:spacing w:after="120"/>
              <w:cnfStyle w:val="000000000000" w:firstRow="0" w:lastRow="0" w:firstColumn="0" w:lastColumn="0" w:oddVBand="0" w:evenVBand="0" w:oddHBand="0" w:evenHBand="0" w:firstRowFirstColumn="0" w:firstRowLastColumn="0" w:lastRowFirstColumn="0" w:lastRowLastColumn="0"/>
              <w:rPr>
                <w:sz w:val="18"/>
                <w:szCs w:val="18"/>
              </w:rPr>
            </w:pPr>
            <w:r w:rsidRPr="00D022D2">
              <w:rPr>
                <w:sz w:val="18"/>
                <w:szCs w:val="18"/>
              </w:rPr>
              <w:t>5.1.2</w:t>
            </w:r>
          </w:p>
        </w:tc>
        <w:tc>
          <w:tcPr>
            <w:tcW w:w="1642" w:type="pct"/>
          </w:tcPr>
          <w:p w14:paraId="7641E62B" w14:textId="77777777" w:rsidR="00F37B98" w:rsidRDefault="00D022D2">
            <w:pPr>
              <w:spacing w:after="120"/>
              <w:cnfStyle w:val="000000000000" w:firstRow="0" w:lastRow="0" w:firstColumn="0" w:lastColumn="0" w:oddVBand="0" w:evenVBand="0" w:oddHBand="0" w:evenHBand="0" w:firstRowFirstColumn="0" w:firstRowLastColumn="0" w:lastRowFirstColumn="0" w:lastRowLastColumn="0"/>
              <w:rPr>
                <w:sz w:val="18"/>
                <w:szCs w:val="18"/>
                <w:lang w:eastAsia="zh-CN"/>
              </w:rPr>
            </w:pPr>
            <w:r w:rsidRPr="00D022D2">
              <w:rPr>
                <w:sz w:val="18"/>
                <w:szCs w:val="18"/>
                <w:lang w:eastAsia="zh-CN"/>
              </w:rPr>
              <w:t>Develop and implement procurement plans in line with project needs, ensuring timely delivery of goods, services, and works.</w:t>
            </w:r>
          </w:p>
          <w:p w14:paraId="7CC6628B" w14:textId="77777777" w:rsidR="00AA370D" w:rsidRDefault="00AA370D">
            <w:pPr>
              <w:spacing w:after="120"/>
              <w:cnfStyle w:val="000000000000" w:firstRow="0" w:lastRow="0" w:firstColumn="0" w:lastColumn="0" w:oddVBand="0" w:evenVBand="0" w:oddHBand="0" w:evenHBand="0" w:firstRowFirstColumn="0" w:firstRowLastColumn="0" w:lastRowFirstColumn="0" w:lastRowLastColumn="0"/>
              <w:rPr>
                <w:sz w:val="18"/>
                <w:szCs w:val="18"/>
                <w:lang w:eastAsia="zh-CN"/>
              </w:rPr>
            </w:pPr>
            <w:r w:rsidRPr="00AA370D">
              <w:rPr>
                <w:sz w:val="18"/>
                <w:szCs w:val="18"/>
                <w:lang w:eastAsia="zh-CN"/>
              </w:rPr>
              <w:t>Identify, evaluate, and manage vendors and suppliers; negotiate contracts and ensure compliance with UNDP procurement policies and procedures.</w:t>
            </w:r>
          </w:p>
          <w:p w14:paraId="66E2F559" w14:textId="77777777" w:rsidR="00AA370D" w:rsidRDefault="00AA370D">
            <w:pPr>
              <w:spacing w:after="120"/>
              <w:cnfStyle w:val="000000000000" w:firstRow="0" w:lastRow="0" w:firstColumn="0" w:lastColumn="0" w:oddVBand="0" w:evenVBand="0" w:oddHBand="0" w:evenHBand="0" w:firstRowFirstColumn="0" w:firstRowLastColumn="0" w:lastRowFirstColumn="0" w:lastRowLastColumn="0"/>
              <w:rPr>
                <w:sz w:val="18"/>
                <w:szCs w:val="18"/>
                <w:lang w:eastAsia="zh-CN"/>
              </w:rPr>
            </w:pPr>
            <w:r w:rsidRPr="00AA370D">
              <w:rPr>
                <w:sz w:val="18"/>
                <w:szCs w:val="18"/>
                <w:lang w:eastAsia="zh-CN"/>
              </w:rPr>
              <w:t>Conduct transparent bidding processes, including preparation of tender documents, evaluation of bids, and selection of suppliers.</w:t>
            </w:r>
          </w:p>
          <w:p w14:paraId="346A1545" w14:textId="3E80C2D8" w:rsidR="0067544B" w:rsidRPr="00A4458A" w:rsidRDefault="0067544B">
            <w:pPr>
              <w:spacing w:after="120"/>
              <w:cnfStyle w:val="000000000000" w:firstRow="0" w:lastRow="0" w:firstColumn="0" w:lastColumn="0" w:oddVBand="0" w:evenVBand="0" w:oddHBand="0" w:evenHBand="0" w:firstRowFirstColumn="0" w:firstRowLastColumn="0" w:lastRowFirstColumn="0" w:lastRowLastColumn="0"/>
              <w:rPr>
                <w:sz w:val="18"/>
                <w:szCs w:val="18"/>
                <w:lang w:val="en-GB" w:eastAsia="zh-CN"/>
              </w:rPr>
            </w:pPr>
            <w:r w:rsidRPr="0067544B">
              <w:rPr>
                <w:sz w:val="18"/>
                <w:szCs w:val="18"/>
                <w:lang w:eastAsia="zh-CN"/>
              </w:rPr>
              <w:t>Provide guidance to project teams on procurement processes and ensure adherence to UNDP standards, including environmental and ethical considerations.</w:t>
            </w:r>
          </w:p>
        </w:tc>
        <w:tc>
          <w:tcPr>
            <w:tcW w:w="1194" w:type="pct"/>
          </w:tcPr>
          <w:p w14:paraId="2918B81B" w14:textId="77777777" w:rsidR="00F37B98" w:rsidRDefault="007E5CFF"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7E5CFF">
              <w:rPr>
                <w:sz w:val="18"/>
                <w:szCs w:val="18"/>
              </w:rPr>
              <w:t>A university degree in Business Administration, Procurement, Supply Chain Management, Finance, or a related field. A professional certification in procurement (e.g., CIPS) is an advantage.</w:t>
            </w:r>
          </w:p>
          <w:p w14:paraId="53E775D8" w14:textId="77777777" w:rsidR="007E5CFF" w:rsidRDefault="00175B4D"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175B4D">
              <w:rPr>
                <w:sz w:val="18"/>
                <w:szCs w:val="18"/>
              </w:rPr>
              <w:t>At least 3-5 years of progressively responsible experience in procurement, supply chain management, or contract administration, preferably in an international organization or development project.</w:t>
            </w:r>
          </w:p>
          <w:p w14:paraId="25B08806" w14:textId="77777777" w:rsidR="00175B4D" w:rsidRDefault="00175B4D"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175B4D">
              <w:rPr>
                <w:sz w:val="18"/>
                <w:szCs w:val="18"/>
              </w:rPr>
              <w:t>Proficiency in procurement software, tendering processes, and contract management, with a solid understanding of UN/UNDP procurement rules and regulations.</w:t>
            </w:r>
          </w:p>
          <w:p w14:paraId="64BEC59E" w14:textId="04B3A950" w:rsidR="00175B4D" w:rsidRPr="00883BC2" w:rsidRDefault="00175B4D" w:rsidP="00163FD5">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sz w:val="18"/>
                <w:szCs w:val="18"/>
              </w:rPr>
            </w:pPr>
            <w:r w:rsidRPr="00175B4D">
              <w:rPr>
                <w:sz w:val="18"/>
                <w:szCs w:val="18"/>
              </w:rPr>
              <w:t>Fluency in written and spoken English</w:t>
            </w:r>
            <w:r>
              <w:rPr>
                <w:sz w:val="18"/>
                <w:szCs w:val="18"/>
              </w:rPr>
              <w:t>, Russian.</w:t>
            </w:r>
            <w:r w:rsidRPr="00175B4D">
              <w:rPr>
                <w:sz w:val="18"/>
                <w:szCs w:val="18"/>
              </w:rPr>
              <w:t xml:space="preserve"> </w:t>
            </w:r>
          </w:p>
        </w:tc>
        <w:tc>
          <w:tcPr>
            <w:tcW w:w="324" w:type="pct"/>
          </w:tcPr>
          <w:p w14:paraId="05B0182B" w14:textId="244C5CE1" w:rsidR="00F37B98" w:rsidRPr="00B6517B" w:rsidRDefault="00C42B3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AD</w:t>
            </w:r>
          </w:p>
        </w:tc>
      </w:tr>
      <w:tr w:rsidR="00F37B98" w:rsidRPr="00450B52" w14:paraId="0D5548DB" w14:textId="77777777" w:rsidTr="00F80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pct"/>
          </w:tcPr>
          <w:p w14:paraId="509E90FA" w14:textId="455768D6" w:rsidR="00F37B98" w:rsidRDefault="00044299">
            <w:pPr>
              <w:rPr>
                <w:color w:val="808080" w:themeColor="background1" w:themeShade="80"/>
                <w:sz w:val="18"/>
                <w:szCs w:val="18"/>
              </w:rPr>
            </w:pPr>
            <w:r>
              <w:rPr>
                <w:color w:val="808080" w:themeColor="background1" w:themeShade="80"/>
                <w:sz w:val="18"/>
                <w:szCs w:val="18"/>
              </w:rPr>
              <w:t>DP</w:t>
            </w:r>
          </w:p>
        </w:tc>
        <w:tc>
          <w:tcPr>
            <w:tcW w:w="613" w:type="pct"/>
          </w:tcPr>
          <w:p w14:paraId="6E2CAD52" w14:textId="4F18A6DF" w:rsidR="00A11508" w:rsidRDefault="00F37B98">
            <w:pPr>
              <w:spacing w:after="120"/>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Administrative Financial Specialist</w:t>
            </w:r>
            <w:r w:rsidR="004F24D5">
              <w:rPr>
                <w:sz w:val="18"/>
                <w:szCs w:val="18"/>
              </w:rPr>
              <w:t xml:space="preserve"> (PMU)</w:t>
            </w:r>
          </w:p>
        </w:tc>
        <w:tc>
          <w:tcPr>
            <w:tcW w:w="842" w:type="pct"/>
          </w:tcPr>
          <w:p w14:paraId="346CE2DC" w14:textId="77777777" w:rsidR="00D022D2" w:rsidRDefault="00D022D2"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1.1.3</w:t>
            </w:r>
          </w:p>
          <w:p w14:paraId="5047EA69" w14:textId="77777777" w:rsidR="00D022D2" w:rsidRDefault="00D022D2"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1.3.1</w:t>
            </w:r>
          </w:p>
          <w:p w14:paraId="71F8ABD6" w14:textId="77777777" w:rsidR="00D022D2" w:rsidRDefault="00D022D2"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2.2.5</w:t>
            </w:r>
          </w:p>
          <w:p w14:paraId="6BE52DF2" w14:textId="77777777" w:rsidR="00D022D2" w:rsidRDefault="00D022D2"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2.2.6</w:t>
            </w:r>
          </w:p>
          <w:p w14:paraId="52208AD5" w14:textId="77777777" w:rsidR="00D022D2" w:rsidRDefault="00D022D2"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2.4.1</w:t>
            </w:r>
          </w:p>
          <w:p w14:paraId="457AF933" w14:textId="77777777" w:rsidR="00D022D2" w:rsidRDefault="00D022D2"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4.1.1</w:t>
            </w:r>
          </w:p>
          <w:p w14:paraId="19B701FB" w14:textId="77777777" w:rsidR="00D022D2" w:rsidRDefault="00D022D2"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5.1.1</w:t>
            </w:r>
          </w:p>
          <w:p w14:paraId="43020F36" w14:textId="1CD3B59B" w:rsidR="00F37B98" w:rsidRPr="00D022D2" w:rsidRDefault="00D022D2" w:rsidP="00163FD5">
            <w:pPr>
              <w:pStyle w:val="ListParagraph"/>
              <w:numPr>
                <w:ilvl w:val="0"/>
                <w:numId w:val="27"/>
              </w:numPr>
              <w:spacing w:after="120"/>
              <w:cnfStyle w:val="000000100000" w:firstRow="0" w:lastRow="0" w:firstColumn="0" w:lastColumn="0" w:oddVBand="0" w:evenVBand="0" w:oddHBand="1" w:evenHBand="0" w:firstRowFirstColumn="0" w:firstRowLastColumn="0" w:lastRowFirstColumn="0" w:lastRowLastColumn="0"/>
              <w:rPr>
                <w:sz w:val="18"/>
                <w:szCs w:val="18"/>
              </w:rPr>
            </w:pPr>
            <w:r w:rsidRPr="00D022D2">
              <w:rPr>
                <w:sz w:val="18"/>
                <w:szCs w:val="18"/>
              </w:rPr>
              <w:t>5.1.2</w:t>
            </w:r>
          </w:p>
        </w:tc>
        <w:tc>
          <w:tcPr>
            <w:tcW w:w="1642" w:type="pct"/>
          </w:tcPr>
          <w:p w14:paraId="4D65A6D6" w14:textId="110D97C1" w:rsidR="00352955" w:rsidRPr="00352955" w:rsidRDefault="00352955" w:rsidP="00352955">
            <w:pPr>
              <w:cnfStyle w:val="000000100000" w:firstRow="0" w:lastRow="0" w:firstColumn="0" w:lastColumn="0" w:oddVBand="0" w:evenVBand="0" w:oddHBand="1" w:evenHBand="0" w:firstRowFirstColumn="0" w:firstRowLastColumn="0" w:lastRowFirstColumn="0" w:lastRowLastColumn="0"/>
              <w:rPr>
                <w:sz w:val="18"/>
                <w:szCs w:val="18"/>
              </w:rPr>
            </w:pPr>
            <w:r w:rsidRPr="00352955">
              <w:rPr>
                <w:sz w:val="18"/>
                <w:szCs w:val="18"/>
              </w:rPr>
              <w:t xml:space="preserve">Providing administrative services for the project; </w:t>
            </w:r>
          </w:p>
          <w:p w14:paraId="4FBE48F1" w14:textId="51838D82" w:rsidR="00352955" w:rsidRPr="00352955" w:rsidRDefault="00352955" w:rsidP="00352955">
            <w:pPr>
              <w:cnfStyle w:val="000000100000" w:firstRow="0" w:lastRow="0" w:firstColumn="0" w:lastColumn="0" w:oddVBand="0" w:evenVBand="0" w:oddHBand="1" w:evenHBand="0" w:firstRowFirstColumn="0" w:firstRowLastColumn="0" w:lastRowFirstColumn="0" w:lastRowLastColumn="0"/>
              <w:rPr>
                <w:sz w:val="18"/>
                <w:szCs w:val="18"/>
              </w:rPr>
            </w:pPr>
            <w:r w:rsidRPr="00352955">
              <w:rPr>
                <w:sz w:val="18"/>
                <w:szCs w:val="18"/>
              </w:rPr>
              <w:t>Providing a monthly monitoring report on expenditure per cost line and output;</w:t>
            </w:r>
          </w:p>
          <w:p w14:paraId="5201204A" w14:textId="4380B0BD" w:rsidR="00352955" w:rsidRPr="00352955" w:rsidRDefault="00352955" w:rsidP="00352955">
            <w:pPr>
              <w:cnfStyle w:val="000000100000" w:firstRow="0" w:lastRow="0" w:firstColumn="0" w:lastColumn="0" w:oddVBand="0" w:evenVBand="0" w:oddHBand="1" w:evenHBand="0" w:firstRowFirstColumn="0" w:firstRowLastColumn="0" w:lastRowFirstColumn="0" w:lastRowLastColumn="0"/>
              <w:rPr>
                <w:sz w:val="18"/>
                <w:szCs w:val="18"/>
              </w:rPr>
            </w:pPr>
            <w:r w:rsidRPr="00352955">
              <w:rPr>
                <w:sz w:val="18"/>
                <w:szCs w:val="18"/>
              </w:rPr>
              <w:t xml:space="preserve">Managing a finance and expenditure plan in coordination with the </w:t>
            </w:r>
            <w:r w:rsidR="009B1820">
              <w:rPr>
                <w:sz w:val="18"/>
                <w:szCs w:val="18"/>
              </w:rPr>
              <w:t>PM</w:t>
            </w:r>
            <w:r w:rsidRPr="00352955">
              <w:rPr>
                <w:sz w:val="18"/>
                <w:szCs w:val="18"/>
              </w:rPr>
              <w:t xml:space="preserve"> and </w:t>
            </w:r>
            <w:r w:rsidR="00A62C84">
              <w:rPr>
                <w:sz w:val="18"/>
                <w:szCs w:val="18"/>
              </w:rPr>
              <w:t>UNDP Country Office</w:t>
            </w:r>
            <w:r w:rsidRPr="00352955">
              <w:rPr>
                <w:sz w:val="18"/>
                <w:szCs w:val="18"/>
              </w:rPr>
              <w:t xml:space="preserve">; </w:t>
            </w:r>
          </w:p>
          <w:p w14:paraId="17CBFD15" w14:textId="61424B2C" w:rsidR="00352955" w:rsidRPr="00352955" w:rsidRDefault="00352955" w:rsidP="00352955">
            <w:pPr>
              <w:cnfStyle w:val="000000100000" w:firstRow="0" w:lastRow="0" w:firstColumn="0" w:lastColumn="0" w:oddVBand="0" w:evenVBand="0" w:oddHBand="1" w:evenHBand="0" w:firstRowFirstColumn="0" w:firstRowLastColumn="0" w:lastRowFirstColumn="0" w:lastRowLastColumn="0"/>
              <w:rPr>
                <w:sz w:val="18"/>
                <w:szCs w:val="18"/>
              </w:rPr>
            </w:pPr>
            <w:r w:rsidRPr="00352955">
              <w:rPr>
                <w:sz w:val="18"/>
                <w:szCs w:val="18"/>
              </w:rPr>
              <w:t>Meeting the administrative needs of the office independently, with a minimum of intervention;</w:t>
            </w:r>
          </w:p>
          <w:p w14:paraId="07B8BAFD" w14:textId="25F01B86" w:rsidR="00352955" w:rsidRPr="00352955" w:rsidRDefault="00352955" w:rsidP="00352955">
            <w:pPr>
              <w:cnfStyle w:val="000000100000" w:firstRow="0" w:lastRow="0" w:firstColumn="0" w:lastColumn="0" w:oddVBand="0" w:evenVBand="0" w:oddHBand="1" w:evenHBand="0" w:firstRowFirstColumn="0" w:firstRowLastColumn="0" w:lastRowFirstColumn="0" w:lastRowLastColumn="0"/>
              <w:rPr>
                <w:sz w:val="18"/>
                <w:szCs w:val="18"/>
              </w:rPr>
            </w:pPr>
            <w:r w:rsidRPr="00352955">
              <w:rPr>
                <w:sz w:val="18"/>
                <w:szCs w:val="18"/>
              </w:rPr>
              <w:t xml:space="preserve">Managing the support and administrative staff (interns, drivers, cleaning personnel) at the programme office; </w:t>
            </w:r>
          </w:p>
          <w:p w14:paraId="54EA43C4" w14:textId="546C4AB7" w:rsidR="00352955" w:rsidRPr="00352955" w:rsidRDefault="00352955" w:rsidP="00352955">
            <w:pPr>
              <w:cnfStyle w:val="000000100000" w:firstRow="0" w:lastRow="0" w:firstColumn="0" w:lastColumn="0" w:oddVBand="0" w:evenVBand="0" w:oddHBand="1" w:evenHBand="0" w:firstRowFirstColumn="0" w:firstRowLastColumn="0" w:lastRowFirstColumn="0" w:lastRowLastColumn="0"/>
              <w:rPr>
                <w:sz w:val="18"/>
                <w:szCs w:val="18"/>
              </w:rPr>
            </w:pPr>
            <w:r w:rsidRPr="00352955">
              <w:rPr>
                <w:sz w:val="18"/>
                <w:szCs w:val="18"/>
              </w:rPr>
              <w:t>Ensuring that financial and administrative regulations are complied with</w:t>
            </w:r>
            <w:r w:rsidR="00AA20FF">
              <w:rPr>
                <w:sz w:val="18"/>
                <w:szCs w:val="18"/>
              </w:rPr>
              <w:t xml:space="preserve"> UNDP ICF, POPP</w:t>
            </w:r>
            <w:r w:rsidRPr="00352955">
              <w:rPr>
                <w:sz w:val="18"/>
                <w:szCs w:val="18"/>
              </w:rPr>
              <w:t xml:space="preserve">; </w:t>
            </w:r>
          </w:p>
          <w:p w14:paraId="410E5E2A" w14:textId="438EEC88" w:rsidR="00F37B98" w:rsidRPr="00352955" w:rsidRDefault="00AA20FF" w:rsidP="00352955">
            <w:pPr>
              <w:cnfStyle w:val="000000100000" w:firstRow="0" w:lastRow="0" w:firstColumn="0" w:lastColumn="0" w:oddVBand="0" w:evenVBand="0" w:oddHBand="1" w:evenHBand="0" w:firstRowFirstColumn="0" w:firstRowLastColumn="0" w:lastRowFirstColumn="0" w:lastRowLastColumn="0"/>
              <w:rPr>
                <w:sz w:val="18"/>
                <w:szCs w:val="18"/>
                <w:lang w:val="en-GB" w:eastAsia="zh-CN"/>
              </w:rPr>
            </w:pPr>
            <w:r>
              <w:rPr>
                <w:sz w:val="18"/>
                <w:szCs w:val="18"/>
              </w:rPr>
              <w:t>A</w:t>
            </w:r>
            <w:r w:rsidR="00352955" w:rsidRPr="00352955">
              <w:rPr>
                <w:sz w:val="18"/>
                <w:szCs w:val="18"/>
              </w:rPr>
              <w:t xml:space="preserve">dministrating and managing of </w:t>
            </w:r>
            <w:r>
              <w:rPr>
                <w:sz w:val="18"/>
                <w:szCs w:val="18"/>
              </w:rPr>
              <w:t>UNDP</w:t>
            </w:r>
            <w:r w:rsidR="00352955" w:rsidRPr="00352955">
              <w:rPr>
                <w:sz w:val="18"/>
                <w:szCs w:val="18"/>
              </w:rPr>
              <w:t xml:space="preserve"> inventory system.</w:t>
            </w:r>
          </w:p>
        </w:tc>
        <w:tc>
          <w:tcPr>
            <w:tcW w:w="1194" w:type="pct"/>
          </w:tcPr>
          <w:p w14:paraId="153450CB" w14:textId="327B3EDB" w:rsidR="00F37B98" w:rsidRDefault="00B60143"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Higher degree in a</w:t>
            </w:r>
            <w:r w:rsidR="00BD4C9A">
              <w:rPr>
                <w:sz w:val="18"/>
                <w:szCs w:val="18"/>
              </w:rPr>
              <w:t>ccounting, finance or other related field</w:t>
            </w:r>
            <w:r w:rsidR="00D2461B">
              <w:rPr>
                <w:sz w:val="18"/>
                <w:szCs w:val="18"/>
              </w:rPr>
              <w:t>.</w:t>
            </w:r>
          </w:p>
          <w:p w14:paraId="6B8619D0" w14:textId="397E0464" w:rsidR="00BD4C9A" w:rsidRDefault="00BD4C9A"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At least 5 years’ professional experience in a comparable</w:t>
            </w:r>
            <w:r w:rsidR="00D2461B">
              <w:rPr>
                <w:sz w:val="18"/>
                <w:szCs w:val="18"/>
              </w:rPr>
              <w:t>.</w:t>
            </w:r>
            <w:r>
              <w:rPr>
                <w:sz w:val="18"/>
                <w:szCs w:val="18"/>
              </w:rPr>
              <w:t xml:space="preserve"> position </w:t>
            </w:r>
            <w:r w:rsidR="00B67917">
              <w:rPr>
                <w:sz w:val="18"/>
                <w:szCs w:val="18"/>
              </w:rPr>
              <w:t>related to finance and administrative support</w:t>
            </w:r>
            <w:r w:rsidR="00D2461B">
              <w:rPr>
                <w:sz w:val="18"/>
                <w:szCs w:val="18"/>
              </w:rPr>
              <w:t>.</w:t>
            </w:r>
          </w:p>
          <w:p w14:paraId="001BD179" w14:textId="3E9D0045" w:rsidR="00BD4C9A" w:rsidRDefault="00B67917"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Experience with vertical funds </w:t>
            </w:r>
            <w:r w:rsidR="001A6C64">
              <w:rPr>
                <w:sz w:val="18"/>
                <w:szCs w:val="18"/>
              </w:rPr>
              <w:t>is an asset</w:t>
            </w:r>
            <w:r w:rsidR="00D2461B">
              <w:rPr>
                <w:sz w:val="18"/>
                <w:szCs w:val="18"/>
              </w:rPr>
              <w:t>.</w:t>
            </w:r>
          </w:p>
          <w:p w14:paraId="5F3F390A" w14:textId="3D2718D2" w:rsidR="00175B4D" w:rsidRPr="00883BC2" w:rsidRDefault="00D2461B" w:rsidP="00163FD5">
            <w:pPr>
              <w:pStyle w:val="ListParagraph"/>
              <w:numPr>
                <w:ilvl w:val="0"/>
                <w:numId w:val="27"/>
              </w:numPr>
              <w:cnfStyle w:val="000000100000" w:firstRow="0" w:lastRow="0" w:firstColumn="0" w:lastColumn="0" w:oddVBand="0" w:evenVBand="0" w:oddHBand="1" w:evenHBand="0" w:firstRowFirstColumn="0" w:firstRowLastColumn="0" w:lastRowFirstColumn="0" w:lastRowLastColumn="0"/>
              <w:rPr>
                <w:sz w:val="18"/>
                <w:szCs w:val="18"/>
              </w:rPr>
            </w:pPr>
            <w:r w:rsidRPr="00175B4D">
              <w:rPr>
                <w:sz w:val="18"/>
                <w:szCs w:val="18"/>
              </w:rPr>
              <w:t>Fluency in written and spoken English</w:t>
            </w:r>
            <w:r>
              <w:rPr>
                <w:sz w:val="18"/>
                <w:szCs w:val="18"/>
              </w:rPr>
              <w:t>, Russian.</w:t>
            </w:r>
          </w:p>
        </w:tc>
        <w:tc>
          <w:tcPr>
            <w:tcW w:w="324" w:type="pct"/>
          </w:tcPr>
          <w:p w14:paraId="177C0EED" w14:textId="16002694" w:rsidR="00F37B98" w:rsidRPr="00B6517B" w:rsidRDefault="00C42B33">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AE</w:t>
            </w:r>
          </w:p>
        </w:tc>
      </w:tr>
    </w:tbl>
    <w:p w14:paraId="474AC701" w14:textId="77777777" w:rsidR="00A854B6" w:rsidRDefault="00A854B6" w:rsidP="00B9233E">
      <w:pPr>
        <w:rPr>
          <w:rFonts w:cstheme="minorHAnsi"/>
          <w:sz w:val="20"/>
          <w:szCs w:val="20"/>
        </w:rPr>
        <w:sectPr w:rsidR="00A854B6" w:rsidSect="00A854B6">
          <w:pgSz w:w="16840" w:h="11907" w:orient="landscape" w:code="9"/>
          <w:pgMar w:top="1440" w:right="1440" w:bottom="1440" w:left="1440" w:header="720" w:footer="720" w:gutter="0"/>
          <w:cols w:space="720"/>
          <w:docGrid w:linePitch="360"/>
        </w:sectPr>
      </w:pPr>
    </w:p>
    <w:p w14:paraId="04E7EED6" w14:textId="77777777" w:rsidR="006866EC" w:rsidRPr="006866EC" w:rsidRDefault="006866EC" w:rsidP="00B9233E">
      <w:pPr>
        <w:rPr>
          <w:rFonts w:cstheme="minorHAnsi"/>
          <w:sz w:val="20"/>
          <w:szCs w:val="20"/>
        </w:rPr>
      </w:pPr>
    </w:p>
    <w:p w14:paraId="46BCDC51" w14:textId="5AC71F67" w:rsidR="00B43DA9" w:rsidRPr="000A0FB9" w:rsidRDefault="00F97840" w:rsidP="000A0FB9">
      <w:pPr>
        <w:pStyle w:val="ListParagraph"/>
        <w:numPr>
          <w:ilvl w:val="1"/>
          <w:numId w:val="31"/>
        </w:numPr>
        <w:tabs>
          <w:tab w:val="left" w:pos="720"/>
          <w:tab w:val="left" w:pos="7200"/>
        </w:tabs>
        <w:jc w:val="both"/>
        <w:rPr>
          <w:b/>
          <w:color w:val="276E8B" w:themeColor="accent1" w:themeShade="BF"/>
        </w:rPr>
      </w:pPr>
      <w:r w:rsidRPr="000A0FB9">
        <w:rPr>
          <w:b/>
          <w:color w:val="276E8B" w:themeColor="accent1" w:themeShade="BF"/>
        </w:rPr>
        <w:t>Risk and Mitigation Measures</w:t>
      </w:r>
      <w:r w:rsidR="000D4A02" w:rsidRPr="000A0FB9">
        <w:rPr>
          <w:b/>
          <w:color w:val="276E8B" w:themeColor="accent1" w:themeShade="BF"/>
        </w:rPr>
        <w:t xml:space="preserve"> </w:t>
      </w:r>
    </w:p>
    <w:p w14:paraId="68EF7CBA" w14:textId="77777777" w:rsidR="009727BE" w:rsidRDefault="009727BE" w:rsidP="009727BE">
      <w:pPr>
        <w:pStyle w:val="ListParagraph"/>
        <w:tabs>
          <w:tab w:val="left" w:pos="720"/>
          <w:tab w:val="left" w:pos="7200"/>
        </w:tabs>
        <w:ind w:left="360"/>
        <w:jc w:val="both"/>
        <w:rPr>
          <w:b/>
          <w:color w:val="276E8B" w:themeColor="accent1" w:themeShade="BF"/>
        </w:rPr>
      </w:pPr>
    </w:p>
    <w:p w14:paraId="74917714" w14:textId="77777777" w:rsidR="009727BE" w:rsidRPr="009727BE" w:rsidRDefault="009727BE" w:rsidP="000A0FB9">
      <w:pPr>
        <w:pStyle w:val="ListParagraph"/>
        <w:numPr>
          <w:ilvl w:val="0"/>
          <w:numId w:val="31"/>
        </w:numPr>
        <w:tabs>
          <w:tab w:val="left" w:pos="720"/>
          <w:tab w:val="left" w:pos="7200"/>
        </w:tabs>
        <w:jc w:val="both"/>
        <w:rPr>
          <w:b/>
          <w:vanish/>
          <w:color w:val="276E8B" w:themeColor="accent1" w:themeShade="BF"/>
        </w:rPr>
      </w:pPr>
    </w:p>
    <w:p w14:paraId="04D3F42B" w14:textId="77777777" w:rsidR="009727BE" w:rsidRPr="009727BE" w:rsidRDefault="009727BE" w:rsidP="000A0FB9">
      <w:pPr>
        <w:pStyle w:val="ListParagraph"/>
        <w:numPr>
          <w:ilvl w:val="0"/>
          <w:numId w:val="31"/>
        </w:numPr>
        <w:tabs>
          <w:tab w:val="left" w:pos="720"/>
          <w:tab w:val="left" w:pos="7200"/>
        </w:tabs>
        <w:jc w:val="both"/>
        <w:rPr>
          <w:b/>
          <w:vanish/>
          <w:color w:val="276E8B" w:themeColor="accent1" w:themeShade="BF"/>
        </w:rPr>
      </w:pPr>
    </w:p>
    <w:p w14:paraId="1A1A355E" w14:textId="77777777" w:rsidR="009727BE" w:rsidRPr="009727BE" w:rsidRDefault="009727BE" w:rsidP="000A0FB9">
      <w:pPr>
        <w:pStyle w:val="ListParagraph"/>
        <w:numPr>
          <w:ilvl w:val="0"/>
          <w:numId w:val="31"/>
        </w:numPr>
        <w:tabs>
          <w:tab w:val="left" w:pos="720"/>
          <w:tab w:val="left" w:pos="7200"/>
        </w:tabs>
        <w:jc w:val="both"/>
        <w:rPr>
          <w:b/>
          <w:vanish/>
          <w:color w:val="276E8B" w:themeColor="accent1" w:themeShade="BF"/>
        </w:rPr>
      </w:pPr>
    </w:p>
    <w:p w14:paraId="543EA1B2" w14:textId="77777777" w:rsidR="009727BE" w:rsidRPr="009727BE" w:rsidRDefault="009727BE" w:rsidP="000A0FB9">
      <w:pPr>
        <w:pStyle w:val="ListParagraph"/>
        <w:numPr>
          <w:ilvl w:val="0"/>
          <w:numId w:val="31"/>
        </w:numPr>
        <w:tabs>
          <w:tab w:val="left" w:pos="720"/>
          <w:tab w:val="left" w:pos="7200"/>
        </w:tabs>
        <w:jc w:val="both"/>
        <w:rPr>
          <w:b/>
          <w:vanish/>
          <w:color w:val="276E8B" w:themeColor="accent1" w:themeShade="BF"/>
        </w:rPr>
      </w:pPr>
    </w:p>
    <w:p w14:paraId="597A25BD" w14:textId="77777777" w:rsidR="009727BE" w:rsidRPr="009727BE" w:rsidRDefault="009727BE" w:rsidP="000A0FB9">
      <w:pPr>
        <w:pStyle w:val="ListParagraph"/>
        <w:numPr>
          <w:ilvl w:val="1"/>
          <w:numId w:val="31"/>
        </w:numPr>
        <w:tabs>
          <w:tab w:val="left" w:pos="720"/>
          <w:tab w:val="left" w:pos="7200"/>
        </w:tabs>
        <w:jc w:val="both"/>
        <w:rPr>
          <w:b/>
          <w:vanish/>
          <w:color w:val="276E8B" w:themeColor="accent1" w:themeShade="BF"/>
        </w:rPr>
      </w:pPr>
    </w:p>
    <w:p w14:paraId="201CD16F" w14:textId="77777777" w:rsidR="009727BE" w:rsidRPr="009727BE" w:rsidRDefault="009727BE" w:rsidP="000A0FB9">
      <w:pPr>
        <w:pStyle w:val="ListParagraph"/>
        <w:numPr>
          <w:ilvl w:val="1"/>
          <w:numId w:val="31"/>
        </w:numPr>
        <w:tabs>
          <w:tab w:val="left" w:pos="720"/>
          <w:tab w:val="left" w:pos="7200"/>
        </w:tabs>
        <w:jc w:val="both"/>
        <w:rPr>
          <w:b/>
          <w:vanish/>
          <w:color w:val="276E8B" w:themeColor="accent1" w:themeShade="BF"/>
        </w:rPr>
      </w:pPr>
    </w:p>
    <w:p w14:paraId="3E4702A6" w14:textId="77777777" w:rsidR="009727BE" w:rsidRPr="009727BE" w:rsidRDefault="009727BE" w:rsidP="000A0FB9">
      <w:pPr>
        <w:pStyle w:val="ListParagraph"/>
        <w:numPr>
          <w:ilvl w:val="1"/>
          <w:numId w:val="31"/>
        </w:numPr>
        <w:tabs>
          <w:tab w:val="left" w:pos="720"/>
          <w:tab w:val="left" w:pos="7200"/>
        </w:tabs>
        <w:jc w:val="both"/>
        <w:rPr>
          <w:b/>
          <w:vanish/>
          <w:color w:val="276E8B" w:themeColor="accent1" w:themeShade="BF"/>
        </w:rPr>
      </w:pPr>
    </w:p>
    <w:p w14:paraId="4EB0A4DA" w14:textId="122CBF77" w:rsidR="00B43DA9" w:rsidRPr="004E2B59" w:rsidRDefault="00B43DA9" w:rsidP="004E2B59">
      <w:pPr>
        <w:pStyle w:val="ListParagraph"/>
        <w:numPr>
          <w:ilvl w:val="2"/>
          <w:numId w:val="32"/>
        </w:numPr>
        <w:tabs>
          <w:tab w:val="left" w:pos="720"/>
          <w:tab w:val="left" w:pos="7200"/>
        </w:tabs>
        <w:jc w:val="both"/>
        <w:rPr>
          <w:b/>
          <w:color w:val="276E8B" w:themeColor="accent1" w:themeShade="BF"/>
        </w:rPr>
      </w:pPr>
      <w:r w:rsidRPr="004E2B59">
        <w:rPr>
          <w:b/>
          <w:color w:val="276E8B" w:themeColor="accent1" w:themeShade="BF"/>
        </w:rPr>
        <w:t>R</w:t>
      </w:r>
      <w:r w:rsidR="00D81BC4" w:rsidRPr="004E2B59">
        <w:rPr>
          <w:b/>
          <w:color w:val="276E8B" w:themeColor="accent1" w:themeShade="BF"/>
        </w:rPr>
        <w:t xml:space="preserve">isk </w:t>
      </w:r>
      <w:r w:rsidR="0068463F" w:rsidRPr="004E2B59">
        <w:rPr>
          <w:b/>
          <w:color w:val="276E8B" w:themeColor="accent1" w:themeShade="BF"/>
        </w:rPr>
        <w:t>A</w:t>
      </w:r>
      <w:r w:rsidR="00D81BC4" w:rsidRPr="004E2B59">
        <w:rPr>
          <w:b/>
          <w:color w:val="276E8B" w:themeColor="accent1" w:themeShade="BF"/>
        </w:rPr>
        <w:t>ssessment and Risk Monitoring Plan</w:t>
      </w:r>
    </w:p>
    <w:tbl>
      <w:tblPr>
        <w:tblStyle w:val="ListTable3-Accent1"/>
        <w:tblW w:w="9067" w:type="dxa"/>
        <w:tblBorders>
          <w:insideH w:val="single" w:sz="4" w:space="0" w:color="3494BA" w:themeColor="accent1"/>
          <w:insideV w:val="single" w:sz="4" w:space="0" w:color="3494BA" w:themeColor="accent1"/>
        </w:tblBorders>
        <w:tblLook w:val="04A0" w:firstRow="1" w:lastRow="0" w:firstColumn="1" w:lastColumn="0" w:noHBand="0" w:noVBand="1"/>
      </w:tblPr>
      <w:tblGrid>
        <w:gridCol w:w="1306"/>
        <w:gridCol w:w="2022"/>
        <w:gridCol w:w="1295"/>
        <w:gridCol w:w="1039"/>
        <w:gridCol w:w="2043"/>
        <w:gridCol w:w="1362"/>
      </w:tblGrid>
      <w:tr w:rsidR="00F864DE" w:rsidRPr="00FE4839" w14:paraId="7D6AACBC" w14:textId="77777777" w:rsidTr="00131B4F">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1306" w:type="dxa"/>
          </w:tcPr>
          <w:p w14:paraId="3C29CB51" w14:textId="77777777" w:rsidR="009C5993" w:rsidRPr="002675F2" w:rsidRDefault="009C5993" w:rsidP="00491410">
            <w:pPr>
              <w:spacing w:after="120"/>
              <w:rPr>
                <w:lang w:val="en-GB"/>
              </w:rPr>
            </w:pPr>
            <w:r w:rsidRPr="002675F2">
              <w:rPr>
                <w:rStyle w:val="normaltextrun"/>
                <w:sz w:val="20"/>
                <w:szCs w:val="20"/>
                <w:lang w:val="en-GB"/>
              </w:rPr>
              <w:t>Risk category</w:t>
            </w:r>
            <w:r w:rsidRPr="002675F2">
              <w:rPr>
                <w:rStyle w:val="FootnoteReference"/>
                <w:sz w:val="20"/>
                <w:szCs w:val="20"/>
                <w:lang w:val="en-GB"/>
              </w:rPr>
              <w:footnoteReference w:id="114"/>
            </w:r>
          </w:p>
        </w:tc>
        <w:tc>
          <w:tcPr>
            <w:tcW w:w="2022" w:type="dxa"/>
          </w:tcPr>
          <w:p w14:paraId="2A69BD2A" w14:textId="77777777" w:rsidR="009C5993" w:rsidRPr="002675F2" w:rsidRDefault="009C5993" w:rsidP="00491410">
            <w:pPr>
              <w:spacing w:after="120"/>
              <w:cnfStyle w:val="100000000000" w:firstRow="1" w:lastRow="0" w:firstColumn="0" w:lastColumn="0" w:oddVBand="0" w:evenVBand="0" w:oddHBand="0" w:evenHBand="0" w:firstRowFirstColumn="0" w:firstRowLastColumn="0" w:lastRowFirstColumn="0" w:lastRowLastColumn="0"/>
              <w:rPr>
                <w:lang w:val="en-GB"/>
              </w:rPr>
            </w:pPr>
            <w:r w:rsidRPr="002675F2">
              <w:rPr>
                <w:rStyle w:val="normaltextrun"/>
                <w:sz w:val="20"/>
                <w:szCs w:val="20"/>
                <w:lang w:val="en-GB"/>
              </w:rPr>
              <w:t>Specific risk(s) / Risk(s) description</w:t>
            </w:r>
          </w:p>
        </w:tc>
        <w:tc>
          <w:tcPr>
            <w:tcW w:w="1295" w:type="dxa"/>
          </w:tcPr>
          <w:p w14:paraId="358ACCD3" w14:textId="77777777" w:rsidR="009C5993" w:rsidRPr="002675F2" w:rsidRDefault="009C5993" w:rsidP="00491410">
            <w:pPr>
              <w:spacing w:after="120"/>
              <w:cnfStyle w:val="100000000000" w:firstRow="1" w:lastRow="0" w:firstColumn="0" w:lastColumn="0" w:oddVBand="0" w:evenVBand="0" w:oddHBand="0" w:evenHBand="0" w:firstRowFirstColumn="0" w:firstRowLastColumn="0" w:lastRowFirstColumn="0" w:lastRowLastColumn="0"/>
              <w:rPr>
                <w:lang w:val="en-GB"/>
              </w:rPr>
            </w:pPr>
            <w:r w:rsidRPr="002675F2">
              <w:rPr>
                <w:rStyle w:val="normaltextrun"/>
                <w:sz w:val="20"/>
                <w:szCs w:val="20"/>
                <w:lang w:val="en-GB"/>
              </w:rPr>
              <w:t>Probability of occurrence (low, medium, high)</w:t>
            </w:r>
          </w:p>
        </w:tc>
        <w:tc>
          <w:tcPr>
            <w:tcW w:w="1039" w:type="dxa"/>
          </w:tcPr>
          <w:p w14:paraId="28E088F4" w14:textId="77777777" w:rsidR="009C5993" w:rsidRPr="002675F2" w:rsidRDefault="009C5993" w:rsidP="00491410">
            <w:pPr>
              <w:spacing w:after="120"/>
              <w:cnfStyle w:val="100000000000" w:firstRow="1" w:lastRow="0" w:firstColumn="0" w:lastColumn="0" w:oddVBand="0" w:evenVBand="0" w:oddHBand="0" w:evenHBand="0" w:firstRowFirstColumn="0" w:firstRowLastColumn="0" w:lastRowFirstColumn="0" w:lastRowLastColumn="0"/>
              <w:rPr>
                <w:lang w:val="en-GB"/>
              </w:rPr>
            </w:pPr>
            <w:r w:rsidRPr="002675F2">
              <w:rPr>
                <w:rStyle w:val="normaltextrun"/>
                <w:sz w:val="20"/>
                <w:szCs w:val="20"/>
                <w:lang w:val="en-GB"/>
              </w:rPr>
              <w:t>Impact level (low, medium, high)</w:t>
            </w:r>
          </w:p>
        </w:tc>
        <w:tc>
          <w:tcPr>
            <w:tcW w:w="2043" w:type="dxa"/>
          </w:tcPr>
          <w:p w14:paraId="48F2CB5C" w14:textId="77777777" w:rsidR="009C5993" w:rsidRPr="002675F2" w:rsidRDefault="009C5993" w:rsidP="00491410">
            <w:pPr>
              <w:spacing w:after="120"/>
              <w:cnfStyle w:val="100000000000" w:firstRow="1" w:lastRow="0" w:firstColumn="0" w:lastColumn="0" w:oddVBand="0" w:evenVBand="0" w:oddHBand="0" w:evenHBand="0" w:firstRowFirstColumn="0" w:firstRowLastColumn="0" w:lastRowFirstColumn="0" w:lastRowLastColumn="0"/>
              <w:rPr>
                <w:rStyle w:val="normaltextrun"/>
                <w:b w:val="0"/>
                <w:bCs w:val="0"/>
                <w:sz w:val="20"/>
                <w:szCs w:val="20"/>
                <w:lang w:val="en-GB"/>
              </w:rPr>
            </w:pPr>
            <w:r w:rsidRPr="002675F2">
              <w:rPr>
                <w:rStyle w:val="normaltextrun"/>
                <w:sz w:val="20"/>
                <w:szCs w:val="20"/>
                <w:lang w:val="en-GB"/>
              </w:rPr>
              <w:t>Mitigation action(s)</w:t>
            </w:r>
          </w:p>
          <w:p w14:paraId="257076A5" w14:textId="3148906B" w:rsidR="009C5993" w:rsidRPr="002675F2" w:rsidRDefault="009C5993" w:rsidP="00491410">
            <w:pPr>
              <w:spacing w:after="120"/>
              <w:cnfStyle w:val="100000000000" w:firstRow="1" w:lastRow="0" w:firstColumn="0" w:lastColumn="0" w:oddVBand="0" w:evenVBand="0" w:oddHBand="0" w:evenHBand="0" w:firstRowFirstColumn="0" w:firstRowLastColumn="0" w:lastRowFirstColumn="0" w:lastRowLastColumn="0"/>
              <w:rPr>
                <w:lang w:val="en-GB"/>
              </w:rPr>
            </w:pPr>
            <w:r w:rsidRPr="002675F2">
              <w:rPr>
                <w:rStyle w:val="normaltextrun"/>
                <w:sz w:val="20"/>
                <w:szCs w:val="20"/>
                <w:lang w:val="en-GB"/>
              </w:rPr>
              <w:t>If relevant, specify the strategies adopted by the ongoing readiness grant in the country to mitigate the risks</w:t>
            </w:r>
            <w:r w:rsidR="00D962D0" w:rsidRPr="002675F2">
              <w:rPr>
                <w:rStyle w:val="normaltextrun"/>
                <w:sz w:val="20"/>
                <w:szCs w:val="20"/>
                <w:lang w:val="en-GB"/>
              </w:rPr>
              <w:t xml:space="preserve"> </w:t>
            </w:r>
          </w:p>
        </w:tc>
        <w:tc>
          <w:tcPr>
            <w:tcW w:w="1362" w:type="dxa"/>
          </w:tcPr>
          <w:p w14:paraId="668452D5" w14:textId="77777777" w:rsidR="009C5993" w:rsidRPr="002675F2" w:rsidRDefault="009C5993" w:rsidP="00491410">
            <w:pPr>
              <w:spacing w:after="120"/>
              <w:cnfStyle w:val="100000000000" w:firstRow="1" w:lastRow="0" w:firstColumn="0" w:lastColumn="0" w:oddVBand="0" w:evenVBand="0" w:oddHBand="0" w:evenHBand="0" w:firstRowFirstColumn="0" w:firstRowLastColumn="0" w:lastRowFirstColumn="0" w:lastRowLastColumn="0"/>
              <w:rPr>
                <w:lang w:val="en-GB"/>
              </w:rPr>
            </w:pPr>
            <w:r w:rsidRPr="002675F2">
              <w:rPr>
                <w:rStyle w:val="normaltextrun"/>
                <w:sz w:val="20"/>
                <w:szCs w:val="20"/>
                <w:lang w:val="en-GB"/>
              </w:rPr>
              <w:t>Entity(ies) responsible to manage the risk(s)</w:t>
            </w:r>
          </w:p>
        </w:tc>
      </w:tr>
      <w:tr w:rsidR="00F864DE" w:rsidRPr="00FE4839" w14:paraId="1165A4C7" w14:textId="77777777" w:rsidTr="00131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6" w:type="dxa"/>
          </w:tcPr>
          <w:p w14:paraId="0071B611" w14:textId="388F34B9" w:rsidR="00A96B79" w:rsidRPr="00261A9E" w:rsidRDefault="00261A9E" w:rsidP="00A96B79">
            <w:pPr>
              <w:spacing w:after="120"/>
              <w:rPr>
                <w:rStyle w:val="normaltextrun"/>
                <w:rFonts w:ascii="Arial" w:hAnsi="Arial"/>
                <w:b w:val="0"/>
                <w:bCs w:val="0"/>
                <w:sz w:val="16"/>
                <w:szCs w:val="16"/>
              </w:rPr>
            </w:pPr>
            <w:r w:rsidRPr="00261A9E">
              <w:rPr>
                <w:rStyle w:val="normaltextrun"/>
                <w:rFonts w:ascii="Arial" w:hAnsi="Arial"/>
                <w:b w:val="0"/>
                <w:bCs w:val="0"/>
                <w:sz w:val="16"/>
                <w:szCs w:val="16"/>
              </w:rPr>
              <w:t>Political</w:t>
            </w:r>
          </w:p>
        </w:tc>
        <w:tc>
          <w:tcPr>
            <w:tcW w:w="2022" w:type="dxa"/>
          </w:tcPr>
          <w:p w14:paraId="256250C4" w14:textId="227C7114" w:rsidR="007721DA" w:rsidRPr="007721DA" w:rsidRDefault="00584423" w:rsidP="008140AF">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16"/>
                <w:szCs w:val="16"/>
              </w:rPr>
            </w:pPr>
            <w:r w:rsidRPr="00634CD2">
              <w:rPr>
                <w:rFonts w:ascii="Arial" w:hAnsi="Arial"/>
                <w:b/>
                <w:sz w:val="16"/>
                <w:szCs w:val="16"/>
                <w:lang w:val="en-AU"/>
              </w:rPr>
              <w:t>Change of national authorities</w:t>
            </w:r>
            <w:r w:rsidRPr="00584423">
              <w:rPr>
                <w:rFonts w:ascii="Arial" w:hAnsi="Arial"/>
                <w:bCs/>
                <w:sz w:val="16"/>
                <w:szCs w:val="16"/>
                <w:lang w:val="en-AU"/>
              </w:rPr>
              <w:t xml:space="preserve"> during grant implementation may lead to lack of support of the project’s activities</w:t>
            </w:r>
            <w:r w:rsidR="004F36F5">
              <w:rPr>
                <w:rFonts w:ascii="Arial" w:hAnsi="Arial"/>
                <w:bCs/>
                <w:sz w:val="16"/>
                <w:szCs w:val="16"/>
                <w:lang w:val="en-AU"/>
              </w:rPr>
              <w:t>.</w:t>
            </w:r>
          </w:p>
        </w:tc>
        <w:tc>
          <w:tcPr>
            <w:tcW w:w="1295" w:type="dxa"/>
          </w:tcPr>
          <w:p w14:paraId="47C13796" w14:textId="42488650" w:rsidR="00A96B79" w:rsidRPr="004076DE" w:rsidRDefault="00584423" w:rsidP="00A96B79">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16"/>
                <w:szCs w:val="16"/>
                <w:lang w:val="en-GB"/>
              </w:rPr>
            </w:pPr>
            <w:r>
              <w:rPr>
                <w:rStyle w:val="normaltextrun"/>
                <w:rFonts w:ascii="Arial" w:hAnsi="Arial"/>
                <w:bCs/>
                <w:sz w:val="16"/>
                <w:szCs w:val="16"/>
                <w:lang w:val="en-GB"/>
              </w:rPr>
              <w:t>Low</w:t>
            </w:r>
          </w:p>
        </w:tc>
        <w:tc>
          <w:tcPr>
            <w:tcW w:w="1039" w:type="dxa"/>
          </w:tcPr>
          <w:p w14:paraId="5A7E464D" w14:textId="02F0CF66" w:rsidR="00A96B79" w:rsidRPr="004076DE" w:rsidRDefault="00584423" w:rsidP="00A96B79">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16"/>
                <w:szCs w:val="16"/>
                <w:lang w:val="en-GB"/>
              </w:rPr>
            </w:pPr>
            <w:r>
              <w:rPr>
                <w:rStyle w:val="normaltextrun"/>
                <w:rFonts w:ascii="Arial" w:hAnsi="Arial"/>
                <w:bCs/>
                <w:sz w:val="16"/>
                <w:szCs w:val="16"/>
                <w:lang w:val="en-GB"/>
              </w:rPr>
              <w:t>High</w:t>
            </w:r>
          </w:p>
        </w:tc>
        <w:tc>
          <w:tcPr>
            <w:tcW w:w="2043" w:type="dxa"/>
          </w:tcPr>
          <w:p w14:paraId="395BE12C" w14:textId="40F992C0" w:rsidR="00131B4F" w:rsidRPr="0016411B" w:rsidRDefault="00093886" w:rsidP="00CE4051">
            <w:pPr>
              <w:cnfStyle w:val="000000100000" w:firstRow="0" w:lastRow="0" w:firstColumn="0" w:lastColumn="0" w:oddVBand="0" w:evenVBand="0" w:oddHBand="1" w:evenHBand="0" w:firstRowFirstColumn="0" w:firstRowLastColumn="0" w:lastRowFirstColumn="0" w:lastRowLastColumn="0"/>
              <w:rPr>
                <w:sz w:val="16"/>
                <w:szCs w:val="16"/>
              </w:rPr>
            </w:pPr>
            <w:r w:rsidRPr="0016411B">
              <w:rPr>
                <w:sz w:val="16"/>
                <w:szCs w:val="16"/>
              </w:rPr>
              <w:t>Enhanced political &amp; regulatory stability by enacting and enforcing appropriate laws and regulation (Ratification of the Paris Agreement and the national strategies and laws) secures the goal of the project. Additionally, this project will engage relevant stakeholders and ensure its visibility at the highest levels of government. Carry out capacity gap analysis, establish a core group of experts from relevant institutions to ensue inter- and intra- institutional flow of knowledge and capacity. The inception workshop, detailed workplan and budget</w:t>
            </w:r>
            <w:r w:rsidR="00C55B55">
              <w:rPr>
                <w:sz w:val="16"/>
                <w:szCs w:val="16"/>
              </w:rPr>
              <w:t xml:space="preserve"> </w:t>
            </w:r>
            <w:r w:rsidRPr="0016411B">
              <w:rPr>
                <w:sz w:val="16"/>
                <w:szCs w:val="16"/>
              </w:rPr>
              <w:t>will clarify officials who will need to be engaged, consulted, and informed/updated regularly about project progress.</w:t>
            </w:r>
          </w:p>
        </w:tc>
        <w:tc>
          <w:tcPr>
            <w:tcW w:w="1362" w:type="dxa"/>
          </w:tcPr>
          <w:p w14:paraId="5A7A0D70" w14:textId="77777777" w:rsidR="00C55B55" w:rsidRDefault="00A329EE" w:rsidP="00A96B79">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16"/>
                <w:szCs w:val="16"/>
                <w:lang w:val="en-GB"/>
              </w:rPr>
            </w:pPr>
            <w:r>
              <w:rPr>
                <w:rStyle w:val="normaltextrun"/>
                <w:rFonts w:ascii="Arial" w:hAnsi="Arial"/>
                <w:bCs/>
                <w:sz w:val="16"/>
                <w:szCs w:val="16"/>
                <w:lang w:val="en-GB"/>
              </w:rPr>
              <w:t xml:space="preserve">UNDP </w:t>
            </w:r>
          </w:p>
          <w:p w14:paraId="14DA2FBA" w14:textId="417FAF6F" w:rsidR="00A96B79" w:rsidRPr="004076DE" w:rsidRDefault="00A329EE" w:rsidP="00A96B79">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16"/>
                <w:szCs w:val="16"/>
                <w:lang w:val="en-GB"/>
              </w:rPr>
            </w:pPr>
            <w:r>
              <w:rPr>
                <w:rStyle w:val="normaltextrun"/>
                <w:rFonts w:ascii="Arial" w:hAnsi="Arial"/>
                <w:bCs/>
                <w:sz w:val="16"/>
                <w:szCs w:val="16"/>
                <w:lang w:val="en-GB"/>
              </w:rPr>
              <w:t>NDA</w:t>
            </w:r>
          </w:p>
        </w:tc>
      </w:tr>
      <w:tr w:rsidR="00D9707F" w:rsidRPr="00FE4839" w14:paraId="7A3614CC" w14:textId="77777777" w:rsidTr="00131B4F">
        <w:trPr>
          <w:trHeight w:val="300"/>
        </w:trPr>
        <w:tc>
          <w:tcPr>
            <w:cnfStyle w:val="001000000000" w:firstRow="0" w:lastRow="0" w:firstColumn="1" w:lastColumn="0" w:oddVBand="0" w:evenVBand="0" w:oddHBand="0" w:evenHBand="0" w:firstRowFirstColumn="0" w:firstRowLastColumn="0" w:lastRowFirstColumn="0" w:lastRowLastColumn="0"/>
            <w:tcW w:w="1306" w:type="dxa"/>
          </w:tcPr>
          <w:p w14:paraId="72B36A76" w14:textId="7FB20F2E" w:rsidR="00D9707F" w:rsidRPr="00261A9E" w:rsidRDefault="00D9707F" w:rsidP="00D9707F">
            <w:pPr>
              <w:spacing w:after="120"/>
              <w:rPr>
                <w:rStyle w:val="normaltextrun"/>
                <w:rFonts w:ascii="Arial" w:hAnsi="Arial"/>
                <w:b w:val="0"/>
                <w:bCs w:val="0"/>
                <w:sz w:val="16"/>
                <w:szCs w:val="16"/>
              </w:rPr>
            </w:pPr>
            <w:r w:rsidRPr="006D72F5">
              <w:rPr>
                <w:rFonts w:ascii="Arial" w:hAnsi="Arial"/>
                <w:b w:val="0"/>
                <w:sz w:val="16"/>
                <w:szCs w:val="16"/>
              </w:rPr>
              <w:t>Stakeholder engagement</w:t>
            </w:r>
          </w:p>
        </w:tc>
        <w:tc>
          <w:tcPr>
            <w:tcW w:w="2022" w:type="dxa"/>
          </w:tcPr>
          <w:p w14:paraId="68083543" w14:textId="33CFE342" w:rsidR="00D9707F" w:rsidRPr="00634CD2" w:rsidRDefault="00D9707F" w:rsidP="00D9707F">
            <w:pPr>
              <w:spacing w:after="120"/>
              <w:cnfStyle w:val="000000000000" w:firstRow="0" w:lastRow="0" w:firstColumn="0" w:lastColumn="0" w:oddVBand="0" w:evenVBand="0" w:oddHBand="0" w:evenHBand="0" w:firstRowFirstColumn="0" w:firstRowLastColumn="0" w:lastRowFirstColumn="0" w:lastRowLastColumn="0"/>
              <w:rPr>
                <w:rFonts w:ascii="Arial" w:hAnsi="Arial"/>
                <w:b/>
                <w:sz w:val="16"/>
                <w:szCs w:val="16"/>
                <w:lang w:val="en-AU"/>
              </w:rPr>
            </w:pPr>
            <w:r w:rsidRPr="00FA1E16">
              <w:rPr>
                <w:rFonts w:ascii="Arial" w:hAnsi="Arial"/>
                <w:bCs/>
                <w:sz w:val="16"/>
                <w:szCs w:val="16"/>
              </w:rPr>
              <w:t>Due to the involvement of multiple stakeholders, there is a risk</w:t>
            </w:r>
            <w:r>
              <w:rPr>
                <w:rFonts w:ascii="Arial" w:hAnsi="Arial"/>
                <w:bCs/>
                <w:sz w:val="16"/>
                <w:szCs w:val="16"/>
              </w:rPr>
              <w:t xml:space="preserve"> of</w:t>
            </w:r>
            <w:r w:rsidRPr="00FA1E16">
              <w:rPr>
                <w:rFonts w:ascii="Arial" w:hAnsi="Arial"/>
                <w:bCs/>
                <w:sz w:val="16"/>
                <w:szCs w:val="16"/>
              </w:rPr>
              <w:t xml:space="preserve"> </w:t>
            </w:r>
            <w:r w:rsidR="00CF230C">
              <w:rPr>
                <w:rFonts w:ascii="Arial" w:hAnsi="Arial"/>
                <w:b/>
                <w:bCs/>
                <w:sz w:val="16"/>
                <w:szCs w:val="16"/>
              </w:rPr>
              <w:t>collapse</w:t>
            </w:r>
            <w:r w:rsidRPr="00634CD2">
              <w:rPr>
                <w:rFonts w:ascii="Arial" w:hAnsi="Arial"/>
                <w:b/>
                <w:sz w:val="16"/>
                <w:szCs w:val="16"/>
                <w:lang w:val="en-AU"/>
              </w:rPr>
              <w:t xml:space="preserve"> of interests</w:t>
            </w:r>
            <w:r w:rsidRPr="00BC6986">
              <w:rPr>
                <w:rFonts w:ascii="Arial" w:hAnsi="Arial"/>
                <w:bCs/>
                <w:sz w:val="16"/>
                <w:szCs w:val="16"/>
                <w:lang w:val="en-AU"/>
              </w:rPr>
              <w:t xml:space="preserve"> between different categories of stakeholders</w:t>
            </w:r>
            <w:r>
              <w:rPr>
                <w:rFonts w:ascii="Arial" w:hAnsi="Arial"/>
                <w:bCs/>
                <w:sz w:val="16"/>
                <w:szCs w:val="16"/>
                <w:lang w:val="en-AU"/>
              </w:rPr>
              <w:t xml:space="preserve"> which may cause </w:t>
            </w:r>
            <w:r w:rsidRPr="00FA1E16">
              <w:rPr>
                <w:rFonts w:ascii="Arial" w:hAnsi="Arial"/>
                <w:bCs/>
                <w:sz w:val="16"/>
                <w:szCs w:val="16"/>
              </w:rPr>
              <w:t>of lack of coordination</w:t>
            </w:r>
            <w:r>
              <w:rPr>
                <w:rFonts w:ascii="Arial" w:hAnsi="Arial"/>
                <w:bCs/>
                <w:sz w:val="16"/>
                <w:szCs w:val="16"/>
              </w:rPr>
              <w:t xml:space="preserve"> engagement. </w:t>
            </w:r>
            <w:r w:rsidRPr="006D72F5">
              <w:rPr>
                <w:rFonts w:ascii="Arial" w:hAnsi="Arial"/>
                <w:sz w:val="16"/>
                <w:szCs w:val="16"/>
              </w:rPr>
              <w:t xml:space="preserve"> </w:t>
            </w:r>
          </w:p>
        </w:tc>
        <w:tc>
          <w:tcPr>
            <w:tcW w:w="1295" w:type="dxa"/>
          </w:tcPr>
          <w:p w14:paraId="1DF04A0C" w14:textId="4D1A09A7" w:rsidR="00D9707F" w:rsidRDefault="00D9707F" w:rsidP="00D9707F">
            <w:pPr>
              <w:spacing w:after="120"/>
              <w:cnfStyle w:val="000000000000" w:firstRow="0" w:lastRow="0" w:firstColumn="0" w:lastColumn="0" w:oddVBand="0" w:evenVBand="0" w:oddHBand="0" w:evenHBand="0" w:firstRowFirstColumn="0" w:firstRowLastColumn="0" w:lastRowFirstColumn="0" w:lastRowLastColumn="0"/>
              <w:rPr>
                <w:rStyle w:val="normaltextrun"/>
                <w:rFonts w:ascii="Arial" w:hAnsi="Arial"/>
                <w:bCs/>
                <w:sz w:val="16"/>
                <w:szCs w:val="16"/>
                <w:lang w:val="en-GB"/>
              </w:rPr>
            </w:pPr>
            <w:r w:rsidRPr="006D72F5">
              <w:rPr>
                <w:rStyle w:val="normaltextrun"/>
                <w:rFonts w:ascii="Arial" w:hAnsi="Arial"/>
                <w:sz w:val="16"/>
                <w:szCs w:val="16"/>
                <w:lang w:val="en-GB"/>
              </w:rPr>
              <w:t>Low</w:t>
            </w:r>
          </w:p>
        </w:tc>
        <w:tc>
          <w:tcPr>
            <w:tcW w:w="1039" w:type="dxa"/>
          </w:tcPr>
          <w:p w14:paraId="265567C2" w14:textId="7AF1279A" w:rsidR="00D9707F" w:rsidRDefault="00D9707F" w:rsidP="00D9707F">
            <w:pPr>
              <w:spacing w:after="120"/>
              <w:cnfStyle w:val="000000000000" w:firstRow="0" w:lastRow="0" w:firstColumn="0" w:lastColumn="0" w:oddVBand="0" w:evenVBand="0" w:oddHBand="0" w:evenHBand="0" w:firstRowFirstColumn="0" w:firstRowLastColumn="0" w:lastRowFirstColumn="0" w:lastRowLastColumn="0"/>
              <w:rPr>
                <w:rStyle w:val="normaltextrun"/>
                <w:rFonts w:ascii="Arial" w:hAnsi="Arial"/>
                <w:bCs/>
                <w:sz w:val="16"/>
                <w:szCs w:val="16"/>
                <w:lang w:val="en-GB"/>
              </w:rPr>
            </w:pPr>
            <w:r w:rsidRPr="006D72F5">
              <w:rPr>
                <w:rStyle w:val="normaltextrun"/>
                <w:rFonts w:ascii="Arial" w:hAnsi="Arial"/>
                <w:sz w:val="16"/>
                <w:szCs w:val="16"/>
                <w:lang w:val="en-GB"/>
              </w:rPr>
              <w:t>Medium</w:t>
            </w:r>
          </w:p>
        </w:tc>
        <w:tc>
          <w:tcPr>
            <w:tcW w:w="2043" w:type="dxa"/>
          </w:tcPr>
          <w:p w14:paraId="10893A48" w14:textId="77777777" w:rsidR="00D9707F" w:rsidRDefault="00D9707F" w:rsidP="00CE4051">
            <w:pPr>
              <w:cnfStyle w:val="000000000000" w:firstRow="0" w:lastRow="0" w:firstColumn="0" w:lastColumn="0" w:oddVBand="0" w:evenVBand="0" w:oddHBand="0" w:evenHBand="0" w:firstRowFirstColumn="0" w:firstRowLastColumn="0" w:lastRowFirstColumn="0" w:lastRowLastColumn="0"/>
              <w:rPr>
                <w:rFonts w:ascii="Arial" w:hAnsi="Arial"/>
                <w:bCs/>
                <w:sz w:val="16"/>
                <w:szCs w:val="16"/>
              </w:rPr>
            </w:pPr>
            <w:r>
              <w:rPr>
                <w:rFonts w:ascii="Arial" w:hAnsi="Arial"/>
                <w:bCs/>
                <w:sz w:val="16"/>
                <w:szCs w:val="16"/>
              </w:rPr>
              <w:t>The Project will engage NDA to facilitate a dialogue among stakeholders.</w:t>
            </w:r>
          </w:p>
          <w:p w14:paraId="7B8D8EE1" w14:textId="77777777" w:rsidR="00D9707F" w:rsidRDefault="00D9707F" w:rsidP="00CE4051">
            <w:pPr>
              <w:cnfStyle w:val="000000000000" w:firstRow="0" w:lastRow="0" w:firstColumn="0" w:lastColumn="0" w:oddVBand="0" w:evenVBand="0" w:oddHBand="0" w:evenHBand="0" w:firstRowFirstColumn="0" w:firstRowLastColumn="0" w:lastRowFirstColumn="0" w:lastRowLastColumn="0"/>
              <w:rPr>
                <w:rFonts w:ascii="Arial" w:hAnsi="Arial"/>
                <w:bCs/>
                <w:sz w:val="16"/>
                <w:szCs w:val="16"/>
              </w:rPr>
            </w:pPr>
            <w:r w:rsidRPr="00DF0FAB">
              <w:rPr>
                <w:rFonts w:ascii="Arial" w:hAnsi="Arial"/>
                <w:bCs/>
                <w:sz w:val="16"/>
                <w:szCs w:val="16"/>
              </w:rPr>
              <w:t xml:space="preserve">The Readiness support will prioritize outreach and give technical support and advice based on clearly identified functions, responsibilities, and associated areas. </w:t>
            </w:r>
          </w:p>
          <w:p w14:paraId="357A3633" w14:textId="00AF4CD2" w:rsidR="00D9707F" w:rsidRPr="0016411B" w:rsidRDefault="00D9707F" w:rsidP="00CE4051">
            <w:pPr>
              <w:cnfStyle w:val="000000000000" w:firstRow="0" w:lastRow="0" w:firstColumn="0" w:lastColumn="0" w:oddVBand="0" w:evenVBand="0" w:oddHBand="0" w:evenHBand="0" w:firstRowFirstColumn="0" w:firstRowLastColumn="0" w:lastRowFirstColumn="0" w:lastRowLastColumn="0"/>
              <w:rPr>
                <w:sz w:val="16"/>
                <w:szCs w:val="16"/>
              </w:rPr>
            </w:pPr>
            <w:r>
              <w:rPr>
                <w:rFonts w:ascii="Arial" w:hAnsi="Arial"/>
                <w:sz w:val="16"/>
                <w:szCs w:val="16"/>
              </w:rPr>
              <w:t>The project will formulate policies based on evidence, best international practice and will ensure participatory and inclusive approach during design.</w:t>
            </w:r>
          </w:p>
        </w:tc>
        <w:tc>
          <w:tcPr>
            <w:tcW w:w="1362" w:type="dxa"/>
          </w:tcPr>
          <w:p w14:paraId="6022CA29" w14:textId="77777777" w:rsidR="00D9707F" w:rsidRPr="006D72F5" w:rsidRDefault="00D9707F" w:rsidP="00D9707F">
            <w:pPr>
              <w:spacing w:after="120"/>
              <w:cnfStyle w:val="000000000000" w:firstRow="0" w:lastRow="0" w:firstColumn="0" w:lastColumn="0" w:oddVBand="0" w:evenVBand="0" w:oddHBand="0" w:evenHBand="0" w:firstRowFirstColumn="0" w:firstRowLastColumn="0" w:lastRowFirstColumn="0" w:lastRowLastColumn="0"/>
              <w:rPr>
                <w:rStyle w:val="normaltextrun"/>
                <w:rFonts w:ascii="Arial" w:hAnsi="Arial"/>
                <w:sz w:val="16"/>
                <w:szCs w:val="16"/>
                <w:lang w:val="en-GB"/>
              </w:rPr>
            </w:pPr>
            <w:r w:rsidRPr="006D72F5">
              <w:rPr>
                <w:rStyle w:val="normaltextrun"/>
                <w:rFonts w:ascii="Arial" w:hAnsi="Arial"/>
                <w:sz w:val="16"/>
                <w:szCs w:val="16"/>
                <w:lang w:val="en-GB"/>
              </w:rPr>
              <w:t>UNDP</w:t>
            </w:r>
          </w:p>
          <w:p w14:paraId="2C7E0943" w14:textId="31B277BD" w:rsidR="00D9707F" w:rsidRDefault="00D9707F" w:rsidP="00D9707F">
            <w:pPr>
              <w:spacing w:after="120"/>
              <w:cnfStyle w:val="000000000000" w:firstRow="0" w:lastRow="0" w:firstColumn="0" w:lastColumn="0" w:oddVBand="0" w:evenVBand="0" w:oddHBand="0" w:evenHBand="0" w:firstRowFirstColumn="0" w:firstRowLastColumn="0" w:lastRowFirstColumn="0" w:lastRowLastColumn="0"/>
              <w:rPr>
                <w:rStyle w:val="normaltextrun"/>
                <w:rFonts w:ascii="Arial" w:hAnsi="Arial"/>
                <w:bCs/>
                <w:sz w:val="16"/>
                <w:szCs w:val="16"/>
                <w:lang w:val="en-GB"/>
              </w:rPr>
            </w:pPr>
            <w:r w:rsidRPr="006D72F5">
              <w:rPr>
                <w:rStyle w:val="normaltextrun"/>
                <w:rFonts w:ascii="Arial" w:hAnsi="Arial"/>
                <w:sz w:val="16"/>
                <w:szCs w:val="16"/>
                <w:lang w:val="en-GB"/>
              </w:rPr>
              <w:t>NDA</w:t>
            </w:r>
          </w:p>
        </w:tc>
      </w:tr>
      <w:tr w:rsidR="00D9707F" w:rsidRPr="00FE4839" w14:paraId="0384B6DE" w14:textId="77777777" w:rsidTr="00131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6" w:type="dxa"/>
            <w:vMerge w:val="restart"/>
          </w:tcPr>
          <w:p w14:paraId="4D5D9016" w14:textId="633C5328" w:rsidR="00D9707F" w:rsidRPr="00D9707F" w:rsidRDefault="00D9707F" w:rsidP="00D9707F">
            <w:pPr>
              <w:spacing w:after="120"/>
              <w:rPr>
                <w:rStyle w:val="normaltextrun"/>
                <w:rFonts w:ascii="Arial" w:hAnsi="Arial"/>
                <w:sz w:val="16"/>
                <w:szCs w:val="16"/>
              </w:rPr>
            </w:pPr>
            <w:r>
              <w:rPr>
                <w:rStyle w:val="normaltextrun"/>
                <w:rFonts w:ascii="Arial" w:hAnsi="Arial"/>
                <w:b w:val="0"/>
                <w:bCs w:val="0"/>
                <w:sz w:val="16"/>
                <w:szCs w:val="16"/>
              </w:rPr>
              <w:t>Operational</w:t>
            </w:r>
            <w:r w:rsidRPr="00B15B77">
              <w:rPr>
                <w:rFonts w:ascii="Arial" w:hAnsi="Arial"/>
                <w:b w:val="0"/>
                <w:color w:val="000000" w:themeColor="text1"/>
                <w:sz w:val="16"/>
                <w:szCs w:val="16"/>
              </w:rPr>
              <w:t xml:space="preserve"> </w:t>
            </w:r>
          </w:p>
        </w:tc>
        <w:tc>
          <w:tcPr>
            <w:tcW w:w="2022" w:type="dxa"/>
          </w:tcPr>
          <w:p w14:paraId="5FEA9A2B" w14:textId="77777777" w:rsidR="00D9707F" w:rsidRPr="002257DA" w:rsidRDefault="00D9707F" w:rsidP="006D20C1">
            <w:p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rPr>
            </w:pPr>
            <w:r w:rsidRPr="002257DA">
              <w:rPr>
                <w:rFonts w:ascii="Arial" w:hAnsi="Arial"/>
                <w:bCs/>
                <w:sz w:val="16"/>
                <w:szCs w:val="16"/>
              </w:rPr>
              <w:t xml:space="preserve">Governmental agencies often experience </w:t>
            </w:r>
            <w:r w:rsidRPr="00634CD2">
              <w:rPr>
                <w:rFonts w:ascii="Arial" w:hAnsi="Arial"/>
                <w:b/>
                <w:sz w:val="16"/>
                <w:szCs w:val="16"/>
              </w:rPr>
              <w:t xml:space="preserve">high </w:t>
            </w:r>
            <w:r w:rsidRPr="00634CD2">
              <w:rPr>
                <w:rFonts w:ascii="Arial" w:hAnsi="Arial"/>
                <w:b/>
                <w:sz w:val="16"/>
                <w:szCs w:val="16"/>
              </w:rPr>
              <w:lastRenderedPageBreak/>
              <w:t>staff turnover</w:t>
            </w:r>
            <w:r w:rsidRPr="002257DA">
              <w:rPr>
                <w:rFonts w:ascii="Arial" w:hAnsi="Arial"/>
                <w:bCs/>
                <w:sz w:val="16"/>
                <w:szCs w:val="16"/>
              </w:rPr>
              <w:t xml:space="preserve"> rates, which may impede achieving continuity of knowledge and capacity and overall sustainability intended by the Readiness support. </w:t>
            </w:r>
          </w:p>
          <w:p w14:paraId="196D815F" w14:textId="77777777" w:rsidR="00D9707F" w:rsidRPr="002257DA" w:rsidRDefault="00D9707F" w:rsidP="006D20C1">
            <w:p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rPr>
            </w:pPr>
          </w:p>
        </w:tc>
        <w:tc>
          <w:tcPr>
            <w:tcW w:w="1295" w:type="dxa"/>
          </w:tcPr>
          <w:p w14:paraId="1908EA23" w14:textId="462958BC" w:rsidR="00D9707F" w:rsidRPr="004076DE" w:rsidRDefault="00D9707F" w:rsidP="006D20C1">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16"/>
                <w:szCs w:val="16"/>
                <w:lang w:val="en-GB"/>
              </w:rPr>
            </w:pPr>
            <w:r w:rsidRPr="004076DE">
              <w:rPr>
                <w:rStyle w:val="normaltextrun"/>
                <w:rFonts w:ascii="Arial" w:hAnsi="Arial"/>
                <w:bCs/>
                <w:sz w:val="16"/>
                <w:szCs w:val="16"/>
                <w:lang w:val="en-GB"/>
              </w:rPr>
              <w:lastRenderedPageBreak/>
              <w:t>Low</w:t>
            </w:r>
            <w:r w:rsidRPr="004076DE">
              <w:rPr>
                <w:rStyle w:val="normaltextrun"/>
                <w:rFonts w:ascii="Arial" w:hAnsi="Arial"/>
                <w:bCs/>
                <w:sz w:val="16"/>
                <w:szCs w:val="16"/>
                <w:lang w:val="en-GB"/>
              </w:rPr>
              <w:tab/>
            </w:r>
          </w:p>
        </w:tc>
        <w:tc>
          <w:tcPr>
            <w:tcW w:w="1039" w:type="dxa"/>
          </w:tcPr>
          <w:p w14:paraId="060B0547" w14:textId="3B3DFA77" w:rsidR="00D9707F" w:rsidRPr="004076DE" w:rsidRDefault="00D9707F" w:rsidP="006D20C1">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16"/>
                <w:szCs w:val="16"/>
                <w:lang w:val="en-GB"/>
              </w:rPr>
            </w:pPr>
            <w:r w:rsidRPr="004076DE">
              <w:rPr>
                <w:rStyle w:val="normaltextrun"/>
                <w:rFonts w:ascii="Arial" w:hAnsi="Arial"/>
                <w:bCs/>
                <w:sz w:val="16"/>
                <w:szCs w:val="16"/>
                <w:lang w:val="en-GB"/>
              </w:rPr>
              <w:t>High</w:t>
            </w:r>
          </w:p>
        </w:tc>
        <w:tc>
          <w:tcPr>
            <w:tcW w:w="2043" w:type="dxa"/>
          </w:tcPr>
          <w:p w14:paraId="53BE7CB9" w14:textId="625460B2" w:rsidR="00D9707F" w:rsidRPr="00CE4051" w:rsidRDefault="00D9707F" w:rsidP="00CE4051">
            <w:pPr>
              <w:cnfStyle w:val="000000100000" w:firstRow="0" w:lastRow="0" w:firstColumn="0" w:lastColumn="0" w:oddVBand="0" w:evenVBand="0" w:oddHBand="1" w:evenHBand="0" w:firstRowFirstColumn="0" w:firstRowLastColumn="0" w:lastRowFirstColumn="0" w:lastRowLastColumn="0"/>
              <w:rPr>
                <w:sz w:val="16"/>
                <w:szCs w:val="16"/>
              </w:rPr>
            </w:pPr>
            <w:r w:rsidRPr="00CE4051">
              <w:rPr>
                <w:sz w:val="16"/>
                <w:szCs w:val="16"/>
              </w:rPr>
              <w:t xml:space="preserve">NDA and UNDP will continuously evaluate </w:t>
            </w:r>
            <w:r w:rsidRPr="00CE4051">
              <w:rPr>
                <w:sz w:val="16"/>
                <w:szCs w:val="16"/>
              </w:rPr>
              <w:lastRenderedPageBreak/>
              <w:t xml:space="preserve">institutional changes and continue to maintain flexibility and adjust to any new functions and/or missions. </w:t>
            </w:r>
          </w:p>
          <w:p w14:paraId="6FD62FFC" w14:textId="4DC3A8B6" w:rsidR="00D9707F" w:rsidRDefault="00D9707F" w:rsidP="00CE4051">
            <w:pPr>
              <w:cnfStyle w:val="000000100000" w:firstRow="0" w:lastRow="0" w:firstColumn="0" w:lastColumn="0" w:oddVBand="0" w:evenVBand="0" w:oddHBand="1" w:evenHBand="0" w:firstRowFirstColumn="0" w:firstRowLastColumn="0" w:lastRowFirstColumn="0" w:lastRowLastColumn="0"/>
              <w:rPr>
                <w:sz w:val="18"/>
                <w:szCs w:val="18"/>
              </w:rPr>
            </w:pPr>
            <w:r w:rsidRPr="00CE4051">
              <w:rPr>
                <w:sz w:val="16"/>
                <w:szCs w:val="16"/>
              </w:rPr>
              <w:t>The project design mitigates the risk (training materials will be stored, and video tutorials will be developed for future use).</w:t>
            </w:r>
            <w:r>
              <w:rPr>
                <w:sz w:val="18"/>
                <w:szCs w:val="18"/>
              </w:rPr>
              <w:t xml:space="preserve"> </w:t>
            </w:r>
          </w:p>
        </w:tc>
        <w:tc>
          <w:tcPr>
            <w:tcW w:w="1362" w:type="dxa"/>
          </w:tcPr>
          <w:p w14:paraId="662C3059" w14:textId="569DE0A7" w:rsidR="00D9707F" w:rsidRPr="004076DE" w:rsidRDefault="00D9707F" w:rsidP="006D20C1">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16"/>
                <w:szCs w:val="16"/>
                <w:lang w:val="en-GB"/>
              </w:rPr>
            </w:pPr>
            <w:r>
              <w:rPr>
                <w:rStyle w:val="normaltextrun"/>
                <w:rFonts w:ascii="Arial" w:hAnsi="Arial"/>
                <w:bCs/>
                <w:sz w:val="16"/>
                <w:szCs w:val="16"/>
                <w:lang w:val="en-GB"/>
              </w:rPr>
              <w:lastRenderedPageBreak/>
              <w:t>UNDP</w:t>
            </w:r>
          </w:p>
          <w:p w14:paraId="06FBC36C" w14:textId="4847A531" w:rsidR="00D9707F" w:rsidRPr="004076DE" w:rsidRDefault="00D9707F" w:rsidP="006D20C1">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bCs/>
                <w:sz w:val="16"/>
                <w:szCs w:val="16"/>
                <w:lang w:val="en-GB"/>
              </w:rPr>
            </w:pPr>
            <w:r w:rsidRPr="004076DE">
              <w:rPr>
                <w:rStyle w:val="normaltextrun"/>
                <w:rFonts w:ascii="Arial" w:hAnsi="Arial"/>
                <w:bCs/>
                <w:sz w:val="16"/>
                <w:szCs w:val="16"/>
                <w:lang w:val="en-GB"/>
              </w:rPr>
              <w:lastRenderedPageBreak/>
              <w:t>NDA</w:t>
            </w:r>
          </w:p>
        </w:tc>
      </w:tr>
      <w:tr w:rsidR="00D9707F" w:rsidRPr="00FE4839" w14:paraId="6AA688BB" w14:textId="77777777" w:rsidTr="00131B4F">
        <w:trPr>
          <w:trHeight w:val="300"/>
        </w:trPr>
        <w:tc>
          <w:tcPr>
            <w:cnfStyle w:val="001000000000" w:firstRow="0" w:lastRow="0" w:firstColumn="1" w:lastColumn="0" w:oddVBand="0" w:evenVBand="0" w:oddHBand="0" w:evenHBand="0" w:firstRowFirstColumn="0" w:firstRowLastColumn="0" w:lastRowFirstColumn="0" w:lastRowLastColumn="0"/>
            <w:tcW w:w="1306" w:type="dxa"/>
            <w:vMerge/>
          </w:tcPr>
          <w:p w14:paraId="6C4709AF" w14:textId="7C73CCC5" w:rsidR="00D9707F" w:rsidRPr="005F5CDA" w:rsidRDefault="00D9707F" w:rsidP="00D9707F">
            <w:pPr>
              <w:spacing w:after="120"/>
              <w:rPr>
                <w:rStyle w:val="normaltextrun"/>
                <w:rFonts w:ascii="Arial" w:hAnsi="Arial"/>
                <w:b w:val="0"/>
                <w:sz w:val="18"/>
                <w:szCs w:val="18"/>
                <w:lang w:val="en-GB"/>
              </w:rPr>
            </w:pPr>
          </w:p>
        </w:tc>
        <w:tc>
          <w:tcPr>
            <w:tcW w:w="2022" w:type="dxa"/>
          </w:tcPr>
          <w:p w14:paraId="7C4B7EFF" w14:textId="6B762A9A" w:rsidR="00D9707F" w:rsidRPr="00BD6693" w:rsidRDefault="00D9707F" w:rsidP="00D9707F">
            <w:pPr>
              <w:spacing w:after="120"/>
              <w:cnfStyle w:val="000000000000" w:firstRow="0" w:lastRow="0" w:firstColumn="0" w:lastColumn="0" w:oddVBand="0" w:evenVBand="0" w:oddHBand="0" w:evenHBand="0" w:firstRowFirstColumn="0" w:firstRowLastColumn="0" w:lastRowFirstColumn="0" w:lastRowLastColumn="0"/>
              <w:rPr>
                <w:rStyle w:val="normaltextrun"/>
                <w:rFonts w:ascii="Arial" w:hAnsi="Arial"/>
                <w:sz w:val="16"/>
                <w:szCs w:val="16"/>
                <w:lang w:val="en-GB"/>
              </w:rPr>
            </w:pPr>
            <w:r w:rsidRPr="00966F84">
              <w:rPr>
                <w:rFonts w:ascii="Arial" w:hAnsi="Arial"/>
                <w:b/>
                <w:bCs/>
                <w:sz w:val="16"/>
                <w:szCs w:val="16"/>
                <w:lang w:val="en-AU"/>
              </w:rPr>
              <w:t>Delays in arrangements</w:t>
            </w:r>
            <w:r w:rsidRPr="00BD6693">
              <w:rPr>
                <w:rFonts w:ascii="Arial" w:hAnsi="Arial"/>
                <w:sz w:val="16"/>
                <w:szCs w:val="16"/>
                <w:lang w:val="en-AU"/>
              </w:rPr>
              <w:t xml:space="preserve"> to start project implementation including firm consultancies procurement and human resources recruitment.</w:t>
            </w:r>
          </w:p>
        </w:tc>
        <w:tc>
          <w:tcPr>
            <w:tcW w:w="1295" w:type="dxa"/>
          </w:tcPr>
          <w:p w14:paraId="775409B9" w14:textId="1374A570" w:rsidR="00D9707F" w:rsidRPr="005F5CDA" w:rsidRDefault="00D9707F" w:rsidP="00D9707F">
            <w:pPr>
              <w:spacing w:after="120"/>
              <w:cnfStyle w:val="000000000000" w:firstRow="0" w:lastRow="0" w:firstColumn="0" w:lastColumn="0" w:oddVBand="0" w:evenVBand="0" w:oddHBand="0" w:evenHBand="0" w:firstRowFirstColumn="0" w:firstRowLastColumn="0" w:lastRowFirstColumn="0" w:lastRowLastColumn="0"/>
              <w:rPr>
                <w:rStyle w:val="normaltextrun"/>
                <w:rFonts w:ascii="Arial" w:hAnsi="Arial"/>
                <w:sz w:val="18"/>
                <w:szCs w:val="18"/>
                <w:lang w:val="en-GB"/>
              </w:rPr>
            </w:pPr>
            <w:r>
              <w:rPr>
                <w:rStyle w:val="normaltextrun"/>
                <w:rFonts w:ascii="Arial" w:hAnsi="Arial"/>
                <w:sz w:val="18"/>
                <w:szCs w:val="18"/>
                <w:lang w:val="en-GB"/>
              </w:rPr>
              <w:t>Medium</w:t>
            </w:r>
          </w:p>
        </w:tc>
        <w:tc>
          <w:tcPr>
            <w:tcW w:w="1039" w:type="dxa"/>
          </w:tcPr>
          <w:p w14:paraId="6E05FF9B" w14:textId="4B83700D" w:rsidR="00D9707F" w:rsidRPr="005F5CDA" w:rsidRDefault="00D9707F" w:rsidP="00D9707F">
            <w:pPr>
              <w:spacing w:after="120"/>
              <w:cnfStyle w:val="000000000000" w:firstRow="0" w:lastRow="0" w:firstColumn="0" w:lastColumn="0" w:oddVBand="0" w:evenVBand="0" w:oddHBand="0" w:evenHBand="0" w:firstRowFirstColumn="0" w:firstRowLastColumn="0" w:lastRowFirstColumn="0" w:lastRowLastColumn="0"/>
              <w:rPr>
                <w:rStyle w:val="normaltextrun"/>
                <w:rFonts w:ascii="Arial" w:hAnsi="Arial"/>
                <w:sz w:val="18"/>
                <w:szCs w:val="18"/>
                <w:lang w:val="en-GB"/>
              </w:rPr>
            </w:pPr>
            <w:r w:rsidRPr="005F5CDA">
              <w:rPr>
                <w:rStyle w:val="normaltextrun"/>
                <w:rFonts w:ascii="Arial" w:hAnsi="Arial"/>
                <w:sz w:val="18"/>
                <w:szCs w:val="18"/>
                <w:lang w:val="en-GB"/>
              </w:rPr>
              <w:t>Medium</w:t>
            </w:r>
          </w:p>
        </w:tc>
        <w:tc>
          <w:tcPr>
            <w:tcW w:w="2043" w:type="dxa"/>
          </w:tcPr>
          <w:p w14:paraId="05711552" w14:textId="6E9BC29C" w:rsidR="00D9707F" w:rsidRPr="00B15EF1" w:rsidRDefault="00D9707F" w:rsidP="00CE4051">
            <w:pPr>
              <w:cnfStyle w:val="000000000000" w:firstRow="0" w:lastRow="0" w:firstColumn="0" w:lastColumn="0" w:oddVBand="0" w:evenVBand="0" w:oddHBand="0" w:evenHBand="0" w:firstRowFirstColumn="0" w:firstRowLastColumn="0" w:lastRowFirstColumn="0" w:lastRowLastColumn="0"/>
              <w:rPr>
                <w:sz w:val="16"/>
                <w:szCs w:val="16"/>
              </w:rPr>
            </w:pPr>
            <w:r w:rsidRPr="00B15EF1">
              <w:rPr>
                <w:sz w:val="16"/>
                <w:szCs w:val="16"/>
              </w:rPr>
              <w:t>Terms of Reference (ToRs) for consultants and contractors will be drafted in advance.</w:t>
            </w:r>
          </w:p>
          <w:p w14:paraId="14AA77E6" w14:textId="3C8B8B20" w:rsidR="00D9707F" w:rsidRPr="00B15EF1" w:rsidRDefault="00D9707F" w:rsidP="00CE4051">
            <w:pPr>
              <w:cnfStyle w:val="000000000000" w:firstRow="0" w:lastRow="0" w:firstColumn="0" w:lastColumn="0" w:oddVBand="0" w:evenVBand="0" w:oddHBand="0" w:evenHBand="0" w:firstRowFirstColumn="0" w:firstRowLastColumn="0" w:lastRowFirstColumn="0" w:lastRowLastColumn="0"/>
              <w:rPr>
                <w:sz w:val="16"/>
                <w:szCs w:val="16"/>
              </w:rPr>
            </w:pPr>
            <w:r w:rsidRPr="00B15EF1">
              <w:rPr>
                <w:sz w:val="16"/>
                <w:szCs w:val="16"/>
              </w:rPr>
              <w:t>UNDP will begin internal processes to initiate recruitment of consultants and contractors and other procurement activities.</w:t>
            </w:r>
          </w:p>
          <w:p w14:paraId="52A3A76D" w14:textId="77777777" w:rsidR="00D9707F" w:rsidRDefault="00D9707F" w:rsidP="00CE4051">
            <w:pPr>
              <w:cnfStyle w:val="000000000000" w:firstRow="0" w:lastRow="0" w:firstColumn="0" w:lastColumn="0" w:oddVBand="0" w:evenVBand="0" w:oddHBand="0" w:evenHBand="0" w:firstRowFirstColumn="0" w:firstRowLastColumn="0" w:lastRowFirstColumn="0" w:lastRowLastColumn="0"/>
              <w:rPr>
                <w:rStyle w:val="normaltextrun"/>
                <w:sz w:val="16"/>
                <w:szCs w:val="16"/>
              </w:rPr>
            </w:pPr>
            <w:r w:rsidRPr="00B15EF1">
              <w:rPr>
                <w:rStyle w:val="normaltextrun"/>
                <w:sz w:val="16"/>
                <w:szCs w:val="16"/>
              </w:rPr>
              <w:t>A detailed Multi-Year Workplan will be developed, to avoid concentration of the workload on particular periods of implementation</w:t>
            </w:r>
            <w:r>
              <w:rPr>
                <w:rStyle w:val="normaltextrun"/>
                <w:sz w:val="16"/>
                <w:szCs w:val="16"/>
              </w:rPr>
              <w:t>.</w:t>
            </w:r>
          </w:p>
          <w:p w14:paraId="772BD1D2" w14:textId="44E7DCE5" w:rsidR="00D9707F" w:rsidRPr="00BD6693" w:rsidRDefault="00D9707F" w:rsidP="00CE4051">
            <w:pPr>
              <w:cnfStyle w:val="000000000000" w:firstRow="0" w:lastRow="0" w:firstColumn="0" w:lastColumn="0" w:oddVBand="0" w:evenVBand="0" w:oddHBand="0" w:evenHBand="0" w:firstRowFirstColumn="0" w:firstRowLastColumn="0" w:lastRowFirstColumn="0" w:lastRowLastColumn="0"/>
              <w:rPr>
                <w:rStyle w:val="normaltextrun"/>
                <w:sz w:val="16"/>
                <w:szCs w:val="16"/>
              </w:rPr>
            </w:pPr>
            <w:r w:rsidRPr="00BD6693">
              <w:rPr>
                <w:rStyle w:val="normaltextrun"/>
                <w:sz w:val="16"/>
                <w:szCs w:val="16"/>
              </w:rPr>
              <w:t>Alternative methods such as direct selection form UNDP roster could be used to speed up the process.</w:t>
            </w:r>
          </w:p>
        </w:tc>
        <w:tc>
          <w:tcPr>
            <w:tcW w:w="1362" w:type="dxa"/>
          </w:tcPr>
          <w:p w14:paraId="671D5082" w14:textId="012EA58D" w:rsidR="00D9707F" w:rsidRPr="005F5CDA" w:rsidRDefault="00D9707F" w:rsidP="00D9707F">
            <w:pPr>
              <w:spacing w:after="120"/>
              <w:cnfStyle w:val="000000000000" w:firstRow="0" w:lastRow="0" w:firstColumn="0" w:lastColumn="0" w:oddVBand="0" w:evenVBand="0" w:oddHBand="0" w:evenHBand="0" w:firstRowFirstColumn="0" w:firstRowLastColumn="0" w:lastRowFirstColumn="0" w:lastRowLastColumn="0"/>
              <w:rPr>
                <w:rStyle w:val="normaltextrun"/>
                <w:rFonts w:ascii="Arial" w:hAnsi="Arial"/>
                <w:sz w:val="18"/>
                <w:szCs w:val="18"/>
                <w:lang w:val="en-GB"/>
              </w:rPr>
            </w:pPr>
            <w:r w:rsidRPr="005F5CDA">
              <w:rPr>
                <w:rStyle w:val="normaltextrun"/>
                <w:rFonts w:ascii="Arial" w:hAnsi="Arial"/>
                <w:sz w:val="18"/>
                <w:szCs w:val="18"/>
                <w:lang w:val="en-GB"/>
              </w:rPr>
              <w:t>UNDP</w:t>
            </w:r>
          </w:p>
        </w:tc>
      </w:tr>
      <w:tr w:rsidR="00DA7166" w:rsidRPr="00FE4839" w14:paraId="437F23E9" w14:textId="77777777" w:rsidTr="00131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6" w:type="dxa"/>
            <w:vMerge/>
          </w:tcPr>
          <w:p w14:paraId="100EDDC3" w14:textId="77777777" w:rsidR="00DA7166" w:rsidRPr="005F5CDA" w:rsidRDefault="00DA7166" w:rsidP="00D9707F">
            <w:pPr>
              <w:spacing w:after="120"/>
              <w:rPr>
                <w:rStyle w:val="normaltextrun"/>
                <w:rFonts w:ascii="Arial" w:hAnsi="Arial"/>
                <w:b w:val="0"/>
                <w:sz w:val="18"/>
                <w:szCs w:val="18"/>
                <w:lang w:val="en-GB"/>
              </w:rPr>
            </w:pPr>
          </w:p>
        </w:tc>
        <w:tc>
          <w:tcPr>
            <w:tcW w:w="2022" w:type="dxa"/>
          </w:tcPr>
          <w:p w14:paraId="255E4175" w14:textId="581BD37F" w:rsidR="00DA7166" w:rsidRPr="00966F84" w:rsidRDefault="00DA7166" w:rsidP="00D9707F">
            <w:pPr>
              <w:spacing w:after="120"/>
              <w:cnfStyle w:val="000000100000" w:firstRow="0" w:lastRow="0" w:firstColumn="0" w:lastColumn="0" w:oddVBand="0" w:evenVBand="0" w:oddHBand="1" w:evenHBand="0" w:firstRowFirstColumn="0" w:firstRowLastColumn="0" w:lastRowFirstColumn="0" w:lastRowLastColumn="0"/>
              <w:rPr>
                <w:rFonts w:ascii="Arial" w:hAnsi="Arial"/>
                <w:b/>
                <w:bCs/>
                <w:sz w:val="16"/>
                <w:szCs w:val="16"/>
                <w:lang w:val="en-AU"/>
              </w:rPr>
            </w:pPr>
            <w:r>
              <w:rPr>
                <w:rFonts w:ascii="Arial" w:hAnsi="Arial"/>
                <w:b/>
                <w:bCs/>
                <w:sz w:val="16"/>
                <w:szCs w:val="16"/>
                <w:lang w:val="en-GB"/>
              </w:rPr>
              <w:t>Unintentional financing of m</w:t>
            </w:r>
            <w:proofErr w:type="spellStart"/>
            <w:r>
              <w:rPr>
                <w:rFonts w:ascii="Arial" w:hAnsi="Arial"/>
                <w:b/>
                <w:bCs/>
                <w:sz w:val="16"/>
                <w:szCs w:val="16"/>
                <w:lang w:val="en-AU"/>
              </w:rPr>
              <w:t>oney</w:t>
            </w:r>
            <w:proofErr w:type="spellEnd"/>
            <w:r>
              <w:rPr>
                <w:rFonts w:ascii="Arial" w:hAnsi="Arial"/>
                <w:b/>
                <w:bCs/>
                <w:sz w:val="16"/>
                <w:szCs w:val="16"/>
                <w:lang w:val="en-AU"/>
              </w:rPr>
              <w:t xml:space="preserve"> l</w:t>
            </w:r>
            <w:r w:rsidRPr="00DA7166">
              <w:rPr>
                <w:rFonts w:ascii="Arial" w:hAnsi="Arial"/>
                <w:b/>
                <w:bCs/>
                <w:sz w:val="16"/>
                <w:szCs w:val="16"/>
                <w:lang w:val="en-AU"/>
              </w:rPr>
              <w:t xml:space="preserve">aundering/terrorist financing/other prohibited practices </w:t>
            </w:r>
            <w:r w:rsidRPr="0065694E">
              <w:rPr>
                <w:rFonts w:ascii="Arial" w:hAnsi="Arial"/>
                <w:sz w:val="16"/>
                <w:szCs w:val="16"/>
                <w:lang w:val="en-AU"/>
              </w:rPr>
              <w:t xml:space="preserve">risk may </w:t>
            </w:r>
            <w:r>
              <w:rPr>
                <w:rFonts w:ascii="Arial" w:hAnsi="Arial"/>
                <w:sz w:val="16"/>
                <w:szCs w:val="16"/>
                <w:lang w:val="en-AU"/>
              </w:rPr>
              <w:t xml:space="preserve">martialize </w:t>
            </w:r>
            <w:r w:rsidRPr="0065694E">
              <w:rPr>
                <w:rFonts w:ascii="Arial" w:hAnsi="Arial"/>
                <w:sz w:val="16"/>
                <w:szCs w:val="16"/>
                <w:lang w:val="en-AU"/>
              </w:rPr>
              <w:t>if the relevant safeguards are not taken</w:t>
            </w:r>
          </w:p>
        </w:tc>
        <w:tc>
          <w:tcPr>
            <w:tcW w:w="1295" w:type="dxa"/>
          </w:tcPr>
          <w:p w14:paraId="2C01E126" w14:textId="3C0F7B6A" w:rsidR="00DA7166" w:rsidRPr="0065694E" w:rsidRDefault="00DA7166" w:rsidP="00D9707F">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sz w:val="18"/>
                <w:szCs w:val="18"/>
                <w:lang w:val="en-AU"/>
              </w:rPr>
            </w:pPr>
            <w:r>
              <w:rPr>
                <w:rStyle w:val="normaltextrun"/>
                <w:rFonts w:ascii="Arial" w:hAnsi="Arial"/>
                <w:sz w:val="18"/>
                <w:szCs w:val="18"/>
                <w:lang w:val="en-AU"/>
              </w:rPr>
              <w:t>L</w:t>
            </w:r>
            <w:r>
              <w:rPr>
                <w:rStyle w:val="normaltextrun"/>
                <w:sz w:val="18"/>
                <w:szCs w:val="18"/>
              </w:rPr>
              <w:t>ow</w:t>
            </w:r>
          </w:p>
        </w:tc>
        <w:tc>
          <w:tcPr>
            <w:tcW w:w="1039" w:type="dxa"/>
          </w:tcPr>
          <w:p w14:paraId="5F2738C2" w14:textId="090FFAE4" w:rsidR="00DA7166" w:rsidRPr="005F5CDA" w:rsidRDefault="00DA7166" w:rsidP="00D9707F">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sz w:val="18"/>
                <w:szCs w:val="18"/>
                <w:lang w:val="en-GB"/>
              </w:rPr>
            </w:pPr>
            <w:r>
              <w:rPr>
                <w:rStyle w:val="normaltextrun"/>
                <w:rFonts w:ascii="Arial" w:hAnsi="Arial"/>
                <w:sz w:val="18"/>
                <w:szCs w:val="18"/>
                <w:lang w:val="en-GB"/>
              </w:rPr>
              <w:t>M</w:t>
            </w:r>
            <w:r>
              <w:rPr>
                <w:rStyle w:val="normaltextrun"/>
                <w:sz w:val="18"/>
                <w:szCs w:val="18"/>
                <w:lang w:val="en-GB"/>
              </w:rPr>
              <w:t>edium</w:t>
            </w:r>
          </w:p>
        </w:tc>
        <w:tc>
          <w:tcPr>
            <w:tcW w:w="2043" w:type="dxa"/>
          </w:tcPr>
          <w:p w14:paraId="6C9419A6" w14:textId="4FB5C9C5" w:rsidR="00DA7166" w:rsidRPr="00DA7166" w:rsidRDefault="00DA7166" w:rsidP="00DA7166">
            <w:pPr>
              <w:cnfStyle w:val="000000100000" w:firstRow="0" w:lastRow="0" w:firstColumn="0" w:lastColumn="0" w:oddVBand="0" w:evenVBand="0" w:oddHBand="1" w:evenHBand="0" w:firstRowFirstColumn="0" w:firstRowLastColumn="0" w:lastRowFirstColumn="0" w:lastRowLastColumn="0"/>
              <w:rPr>
                <w:sz w:val="16"/>
                <w:szCs w:val="16"/>
              </w:rPr>
            </w:pPr>
            <w:r w:rsidRPr="00DA7166">
              <w:rPr>
                <w:sz w:val="16"/>
                <w:szCs w:val="16"/>
              </w:rPr>
              <w:t xml:space="preserve">UNDP has strict Anti-Money Laundering and Countering the Financing of Terrorism Policy (AML CFT). </w:t>
            </w:r>
            <w:r>
              <w:rPr>
                <w:sz w:val="16"/>
                <w:szCs w:val="16"/>
              </w:rPr>
              <w:t>S</w:t>
            </w:r>
            <w:r w:rsidRPr="00DA7166">
              <w:rPr>
                <w:sz w:val="16"/>
                <w:szCs w:val="16"/>
              </w:rPr>
              <w:t>everal measures impose stringent controls and due diligence requirements</w:t>
            </w:r>
            <w:r>
              <w:rPr>
                <w:sz w:val="16"/>
                <w:szCs w:val="16"/>
              </w:rPr>
              <w:t xml:space="preserve"> for all partners and beneficiaries </w:t>
            </w:r>
            <w:r w:rsidRPr="00DA7166">
              <w:rPr>
                <w:sz w:val="16"/>
                <w:szCs w:val="16"/>
              </w:rPr>
              <w:t>to prevent and detect activities linked to money laundering and financing of terrorism.</w:t>
            </w:r>
          </w:p>
          <w:p w14:paraId="08A8DD3C" w14:textId="6FC2935E" w:rsidR="00DA7166" w:rsidRPr="00DA7166" w:rsidRDefault="00DA7166" w:rsidP="00DA7166">
            <w:pPr>
              <w:cnfStyle w:val="000000100000" w:firstRow="0" w:lastRow="0" w:firstColumn="0" w:lastColumn="0" w:oddVBand="0" w:evenVBand="0" w:oddHBand="1" w:evenHBand="0" w:firstRowFirstColumn="0" w:firstRowLastColumn="0" w:lastRowFirstColumn="0" w:lastRowLastColumn="0"/>
              <w:rPr>
                <w:sz w:val="16"/>
                <w:szCs w:val="16"/>
              </w:rPr>
            </w:pPr>
            <w:r w:rsidRPr="00DA7166">
              <w:rPr>
                <w:sz w:val="16"/>
                <w:szCs w:val="16"/>
              </w:rPr>
              <w:t>Measures include screening potential counterparties prior to contractual agreement against the United Nations Global Marketplace Ineligible Vendor Lists. Contractual arrangements will have appropriate representations and warranties from UNDP’s Counterparties regarding AML/CFT, with termination clauses in case of breach.</w:t>
            </w:r>
          </w:p>
          <w:p w14:paraId="7EB94F07" w14:textId="6158617D" w:rsidR="00DA7166" w:rsidRPr="00B15EF1" w:rsidRDefault="00DA7166" w:rsidP="00DA7166">
            <w:pPr>
              <w:cnfStyle w:val="000000100000" w:firstRow="0" w:lastRow="0" w:firstColumn="0" w:lastColumn="0" w:oddVBand="0" w:evenVBand="0" w:oddHBand="1" w:evenHBand="0" w:firstRowFirstColumn="0" w:firstRowLastColumn="0" w:lastRowFirstColumn="0" w:lastRowLastColumn="0"/>
              <w:rPr>
                <w:sz w:val="16"/>
                <w:szCs w:val="16"/>
              </w:rPr>
            </w:pPr>
            <w:r w:rsidRPr="00DA7166">
              <w:rPr>
                <w:sz w:val="16"/>
                <w:szCs w:val="16"/>
              </w:rPr>
              <w:lastRenderedPageBreak/>
              <w:t>All credible allegations will be assessed and investigated</w:t>
            </w:r>
            <w:r w:rsidR="006E2246">
              <w:rPr>
                <w:sz w:val="16"/>
                <w:szCs w:val="16"/>
              </w:rPr>
              <w:t>.</w:t>
            </w:r>
          </w:p>
        </w:tc>
        <w:tc>
          <w:tcPr>
            <w:tcW w:w="1362" w:type="dxa"/>
          </w:tcPr>
          <w:p w14:paraId="2619B69B" w14:textId="749B9092" w:rsidR="00DA7166" w:rsidRPr="005F5CDA" w:rsidRDefault="00DA7166" w:rsidP="00D9707F">
            <w:pPr>
              <w:spacing w:after="120"/>
              <w:cnfStyle w:val="000000100000" w:firstRow="0" w:lastRow="0" w:firstColumn="0" w:lastColumn="0" w:oddVBand="0" w:evenVBand="0" w:oddHBand="1" w:evenHBand="0" w:firstRowFirstColumn="0" w:firstRowLastColumn="0" w:lastRowFirstColumn="0" w:lastRowLastColumn="0"/>
              <w:rPr>
                <w:rStyle w:val="normaltextrun"/>
                <w:rFonts w:ascii="Arial" w:hAnsi="Arial"/>
                <w:sz w:val="18"/>
                <w:szCs w:val="18"/>
                <w:lang w:val="en-GB"/>
              </w:rPr>
            </w:pPr>
            <w:r>
              <w:rPr>
                <w:rStyle w:val="normaltextrun"/>
                <w:rFonts w:ascii="Arial" w:hAnsi="Arial"/>
                <w:sz w:val="18"/>
                <w:szCs w:val="18"/>
                <w:lang w:val="en-GB"/>
              </w:rPr>
              <w:lastRenderedPageBreak/>
              <w:t>U</w:t>
            </w:r>
            <w:r>
              <w:rPr>
                <w:rStyle w:val="normaltextrun"/>
                <w:sz w:val="18"/>
                <w:szCs w:val="18"/>
                <w:lang w:val="en-GB"/>
              </w:rPr>
              <w:t>NDP</w:t>
            </w:r>
          </w:p>
        </w:tc>
      </w:tr>
      <w:tr w:rsidR="00D9707F" w:rsidRPr="00FE4839" w14:paraId="712B48C3" w14:textId="77777777" w:rsidTr="00B15B77">
        <w:trPr>
          <w:trHeight w:val="300"/>
        </w:trPr>
        <w:tc>
          <w:tcPr>
            <w:cnfStyle w:val="001000000000" w:firstRow="0" w:lastRow="0" w:firstColumn="1" w:lastColumn="0" w:oddVBand="0" w:evenVBand="0" w:oddHBand="0" w:evenHBand="0" w:firstRowFirstColumn="0" w:firstRowLastColumn="0" w:lastRowFirstColumn="0" w:lastRowLastColumn="0"/>
            <w:tcW w:w="1306" w:type="dxa"/>
            <w:vMerge/>
            <w:shd w:val="clear" w:color="auto" w:fill="auto"/>
          </w:tcPr>
          <w:p w14:paraId="456C3E46" w14:textId="7C7BF400" w:rsidR="00D9707F" w:rsidRPr="00B15B77" w:rsidRDefault="00D9707F" w:rsidP="00D9707F">
            <w:pPr>
              <w:spacing w:after="120"/>
              <w:rPr>
                <w:color w:val="000000" w:themeColor="text1"/>
                <w:sz w:val="16"/>
                <w:szCs w:val="16"/>
              </w:rPr>
            </w:pPr>
          </w:p>
        </w:tc>
        <w:tc>
          <w:tcPr>
            <w:tcW w:w="2022" w:type="dxa"/>
            <w:shd w:val="clear" w:color="auto" w:fill="auto"/>
          </w:tcPr>
          <w:p w14:paraId="5D7E5BD7" w14:textId="192C73E5" w:rsidR="00D9707F" w:rsidRPr="008A2B9C" w:rsidRDefault="00D9707F" w:rsidP="00D9707F">
            <w:pPr>
              <w:spacing w:after="120"/>
              <w:cnfStyle w:val="000000000000" w:firstRow="0" w:lastRow="0" w:firstColumn="0" w:lastColumn="0" w:oddVBand="0" w:evenVBand="0" w:oddHBand="0" w:evenHBand="0" w:firstRowFirstColumn="0" w:firstRowLastColumn="0" w:lastRowFirstColumn="0" w:lastRowLastColumn="0"/>
              <w:rPr>
                <w:rFonts w:ascii="Arial" w:hAnsi="Arial"/>
                <w:bCs/>
                <w:color w:val="000000" w:themeColor="text1"/>
                <w:sz w:val="16"/>
                <w:szCs w:val="16"/>
              </w:rPr>
            </w:pPr>
            <w:r w:rsidRPr="00966F84">
              <w:rPr>
                <w:rFonts w:ascii="Arial" w:hAnsi="Arial"/>
                <w:b/>
                <w:color w:val="000000" w:themeColor="text1"/>
                <w:sz w:val="16"/>
                <w:szCs w:val="16"/>
              </w:rPr>
              <w:t>Volatility of currency</w:t>
            </w:r>
            <w:r w:rsidRPr="00B15B77">
              <w:rPr>
                <w:rFonts w:ascii="Arial" w:hAnsi="Arial"/>
                <w:bCs/>
                <w:color w:val="000000" w:themeColor="text1"/>
                <w:sz w:val="16"/>
                <w:szCs w:val="16"/>
              </w:rPr>
              <w:t xml:space="preserve"> rates may lead to operational disruptions in the project implementation when it comes to national vendors</w:t>
            </w:r>
          </w:p>
          <w:p w14:paraId="649DD3C0" w14:textId="1E3F9115" w:rsidR="00D9707F" w:rsidRPr="00B15B77" w:rsidRDefault="00D9707F" w:rsidP="00D9707F">
            <w:pPr>
              <w:spacing w:after="120"/>
              <w:cnfStyle w:val="000000000000" w:firstRow="0" w:lastRow="0" w:firstColumn="0" w:lastColumn="0" w:oddVBand="0" w:evenVBand="0" w:oddHBand="0" w:evenHBand="0" w:firstRowFirstColumn="0" w:firstRowLastColumn="0" w:lastRowFirstColumn="0" w:lastRowLastColumn="0"/>
              <w:rPr>
                <w:bCs/>
                <w:color w:val="000000" w:themeColor="text1"/>
                <w:sz w:val="16"/>
                <w:szCs w:val="16"/>
              </w:rPr>
            </w:pPr>
          </w:p>
        </w:tc>
        <w:tc>
          <w:tcPr>
            <w:tcW w:w="1295" w:type="dxa"/>
            <w:shd w:val="clear" w:color="auto" w:fill="auto"/>
          </w:tcPr>
          <w:p w14:paraId="15D1622A" w14:textId="37EB9129" w:rsidR="00D9707F" w:rsidRPr="00B15B77" w:rsidRDefault="00D9707F" w:rsidP="00D9707F">
            <w:pPr>
              <w:spacing w:after="120"/>
              <w:cnfStyle w:val="000000000000" w:firstRow="0" w:lastRow="0" w:firstColumn="0" w:lastColumn="0" w:oddVBand="0" w:evenVBand="0" w:oddHBand="0" w:evenHBand="0" w:firstRowFirstColumn="0" w:firstRowLastColumn="0" w:lastRowFirstColumn="0" w:lastRowLastColumn="0"/>
              <w:rPr>
                <w:bCs/>
                <w:color w:val="000000" w:themeColor="text1"/>
                <w:sz w:val="16"/>
                <w:szCs w:val="16"/>
              </w:rPr>
            </w:pPr>
            <w:r w:rsidRPr="00B15B77">
              <w:rPr>
                <w:bCs/>
                <w:color w:val="000000" w:themeColor="text1"/>
                <w:sz w:val="16"/>
                <w:szCs w:val="16"/>
              </w:rPr>
              <w:t>Low</w:t>
            </w:r>
          </w:p>
        </w:tc>
        <w:tc>
          <w:tcPr>
            <w:tcW w:w="1039" w:type="dxa"/>
            <w:shd w:val="clear" w:color="auto" w:fill="auto"/>
          </w:tcPr>
          <w:p w14:paraId="1CAFB0F0" w14:textId="287774C1" w:rsidR="00D9707F" w:rsidRPr="00B15B77" w:rsidRDefault="00D9707F" w:rsidP="00D9707F">
            <w:pPr>
              <w:spacing w:after="120"/>
              <w:cnfStyle w:val="000000000000" w:firstRow="0" w:lastRow="0" w:firstColumn="0" w:lastColumn="0" w:oddVBand="0" w:evenVBand="0" w:oddHBand="0" w:evenHBand="0" w:firstRowFirstColumn="0" w:firstRowLastColumn="0" w:lastRowFirstColumn="0" w:lastRowLastColumn="0"/>
              <w:rPr>
                <w:bCs/>
                <w:color w:val="000000" w:themeColor="text1"/>
                <w:sz w:val="16"/>
                <w:szCs w:val="16"/>
              </w:rPr>
            </w:pPr>
            <w:r w:rsidRPr="00B15B77">
              <w:rPr>
                <w:bCs/>
                <w:color w:val="000000" w:themeColor="text1"/>
                <w:sz w:val="16"/>
                <w:szCs w:val="16"/>
              </w:rPr>
              <w:t>Medium</w:t>
            </w:r>
          </w:p>
        </w:tc>
        <w:tc>
          <w:tcPr>
            <w:tcW w:w="2043" w:type="dxa"/>
            <w:shd w:val="clear" w:color="auto" w:fill="auto"/>
          </w:tcPr>
          <w:p w14:paraId="1B23AC33" w14:textId="4FD7B5BB" w:rsidR="00D9707F" w:rsidRPr="00B15B77" w:rsidRDefault="00D9707F" w:rsidP="00CE4051">
            <w:pPr>
              <w:cnfStyle w:val="000000000000" w:firstRow="0" w:lastRow="0" w:firstColumn="0" w:lastColumn="0" w:oddVBand="0" w:evenVBand="0" w:oddHBand="0" w:evenHBand="0" w:firstRowFirstColumn="0" w:firstRowLastColumn="0" w:lastRowFirstColumn="0" w:lastRowLastColumn="0"/>
              <w:rPr>
                <w:bCs/>
                <w:color w:val="000000" w:themeColor="text1"/>
                <w:sz w:val="16"/>
                <w:szCs w:val="16"/>
              </w:rPr>
            </w:pPr>
            <w:r w:rsidRPr="00B15B77">
              <w:rPr>
                <w:bCs/>
                <w:color w:val="000000" w:themeColor="text1"/>
                <w:sz w:val="16"/>
                <w:szCs w:val="16"/>
              </w:rPr>
              <w:t>As per internal framework, UNDP adjusts currency exchange rates on biweekly basis. A relevant clauses in contracts of vendors are also included.</w:t>
            </w:r>
            <w:r>
              <w:rPr>
                <w:bCs/>
                <w:color w:val="000000" w:themeColor="text1"/>
                <w:sz w:val="16"/>
                <w:szCs w:val="16"/>
              </w:rPr>
              <w:t xml:space="preserve"> </w:t>
            </w:r>
            <w:r w:rsidRPr="00B15B77">
              <w:rPr>
                <w:bCs/>
                <w:color w:val="000000" w:themeColor="text1"/>
                <w:sz w:val="16"/>
                <w:szCs w:val="16"/>
              </w:rPr>
              <w:t xml:space="preserve">Periodically review and adjust the project budget to reflect current exchange rates </w:t>
            </w:r>
            <w:r>
              <w:rPr>
                <w:bCs/>
                <w:color w:val="000000" w:themeColor="text1"/>
                <w:sz w:val="16"/>
                <w:szCs w:val="16"/>
              </w:rPr>
              <w:t>will be conducted</w:t>
            </w:r>
            <w:r w:rsidRPr="00B15B77">
              <w:rPr>
                <w:bCs/>
                <w:color w:val="000000" w:themeColor="text1"/>
                <w:sz w:val="16"/>
                <w:szCs w:val="16"/>
              </w:rPr>
              <w:t>.</w:t>
            </w:r>
          </w:p>
        </w:tc>
        <w:tc>
          <w:tcPr>
            <w:tcW w:w="1362" w:type="dxa"/>
            <w:shd w:val="clear" w:color="auto" w:fill="auto"/>
          </w:tcPr>
          <w:p w14:paraId="4291DF2B" w14:textId="51653451" w:rsidR="00D9707F" w:rsidRPr="00B15B77" w:rsidRDefault="00D9707F" w:rsidP="00D9707F">
            <w:pPr>
              <w:spacing w:after="120"/>
              <w:cnfStyle w:val="000000000000" w:firstRow="0" w:lastRow="0" w:firstColumn="0" w:lastColumn="0" w:oddVBand="0" w:evenVBand="0" w:oddHBand="0" w:evenHBand="0" w:firstRowFirstColumn="0" w:firstRowLastColumn="0" w:lastRowFirstColumn="0" w:lastRowLastColumn="0"/>
              <w:rPr>
                <w:bCs/>
                <w:color w:val="000000" w:themeColor="text1"/>
                <w:sz w:val="16"/>
                <w:szCs w:val="16"/>
              </w:rPr>
            </w:pPr>
            <w:r w:rsidRPr="00B15B77">
              <w:rPr>
                <w:bCs/>
                <w:color w:val="000000" w:themeColor="text1"/>
                <w:sz w:val="16"/>
                <w:szCs w:val="16"/>
              </w:rPr>
              <w:t>UNDP</w:t>
            </w:r>
          </w:p>
        </w:tc>
      </w:tr>
      <w:tr w:rsidR="005B7614" w:rsidRPr="00FE4839" w14:paraId="720DEBEF" w14:textId="77777777" w:rsidTr="00B15B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6" w:type="dxa"/>
            <w:shd w:val="clear" w:color="auto" w:fill="auto"/>
          </w:tcPr>
          <w:p w14:paraId="096907AA" w14:textId="79B2CC3D" w:rsidR="005B7614" w:rsidRPr="00DE34DD" w:rsidRDefault="00DE34DD" w:rsidP="00D9707F">
            <w:pPr>
              <w:spacing w:after="120"/>
              <w:rPr>
                <w:b w:val="0"/>
                <w:bCs w:val="0"/>
                <w:color w:val="000000" w:themeColor="text1"/>
                <w:sz w:val="16"/>
                <w:szCs w:val="16"/>
              </w:rPr>
            </w:pPr>
            <w:r w:rsidRPr="00DE34DD">
              <w:rPr>
                <w:b w:val="0"/>
                <w:bCs w:val="0"/>
                <w:color w:val="000000" w:themeColor="text1"/>
                <w:sz w:val="16"/>
                <w:szCs w:val="16"/>
              </w:rPr>
              <w:t>Human Resources</w:t>
            </w:r>
          </w:p>
        </w:tc>
        <w:tc>
          <w:tcPr>
            <w:tcW w:w="2022" w:type="dxa"/>
            <w:shd w:val="clear" w:color="auto" w:fill="auto"/>
          </w:tcPr>
          <w:p w14:paraId="1D57B730" w14:textId="25C8BA80" w:rsidR="005B7614" w:rsidRPr="00B20CC5" w:rsidRDefault="00B20CC5" w:rsidP="00D9707F">
            <w:pPr>
              <w:spacing w:after="120"/>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966F84">
              <w:rPr>
                <w:b/>
                <w:bCs/>
                <w:color w:val="000000" w:themeColor="text1"/>
                <w:sz w:val="16"/>
                <w:szCs w:val="16"/>
              </w:rPr>
              <w:t>Limited availability of experienced national and international consultants</w:t>
            </w:r>
            <w:r w:rsidRPr="00B20CC5">
              <w:rPr>
                <w:color w:val="000000" w:themeColor="text1"/>
                <w:sz w:val="16"/>
                <w:szCs w:val="16"/>
              </w:rPr>
              <w:t xml:space="preserve"> and consulting companies</w:t>
            </w:r>
            <w:r w:rsidR="000E3DD0">
              <w:rPr>
                <w:color w:val="000000" w:themeColor="text1"/>
                <w:sz w:val="16"/>
                <w:szCs w:val="16"/>
              </w:rPr>
              <w:t>,</w:t>
            </w:r>
            <w:r w:rsidR="000E3DD0">
              <w:rPr>
                <w:color w:val="000000" w:themeColor="text1"/>
              </w:rPr>
              <w:t xml:space="preserve"> </w:t>
            </w:r>
            <w:r w:rsidRPr="00B20CC5">
              <w:rPr>
                <w:color w:val="000000" w:themeColor="text1"/>
                <w:sz w:val="16"/>
                <w:szCs w:val="16"/>
              </w:rPr>
              <w:t>to develop the project outputs efficiently</w:t>
            </w:r>
          </w:p>
        </w:tc>
        <w:tc>
          <w:tcPr>
            <w:tcW w:w="1295" w:type="dxa"/>
            <w:shd w:val="clear" w:color="auto" w:fill="auto"/>
          </w:tcPr>
          <w:p w14:paraId="491B6947" w14:textId="1598663C" w:rsidR="005B7614" w:rsidRPr="00B15B77" w:rsidRDefault="000E3DD0" w:rsidP="00D9707F">
            <w:pPr>
              <w:spacing w:after="120"/>
              <w:cnfStyle w:val="000000100000" w:firstRow="0" w:lastRow="0" w:firstColumn="0" w:lastColumn="0" w:oddVBand="0" w:evenVBand="0" w:oddHBand="1" w:evenHBand="0" w:firstRowFirstColumn="0" w:firstRowLastColumn="0" w:lastRowFirstColumn="0" w:lastRowLastColumn="0"/>
              <w:rPr>
                <w:bCs/>
                <w:color w:val="000000" w:themeColor="text1"/>
                <w:sz w:val="16"/>
                <w:szCs w:val="16"/>
              </w:rPr>
            </w:pPr>
            <w:r>
              <w:rPr>
                <w:bCs/>
                <w:color w:val="000000" w:themeColor="text1"/>
                <w:sz w:val="16"/>
                <w:szCs w:val="16"/>
              </w:rPr>
              <w:t>L</w:t>
            </w:r>
            <w:r w:rsidRPr="000E3DD0">
              <w:rPr>
                <w:bCs/>
                <w:color w:val="000000" w:themeColor="text1"/>
                <w:sz w:val="16"/>
                <w:szCs w:val="16"/>
              </w:rPr>
              <w:t xml:space="preserve">ow </w:t>
            </w:r>
          </w:p>
        </w:tc>
        <w:tc>
          <w:tcPr>
            <w:tcW w:w="1039" w:type="dxa"/>
            <w:shd w:val="clear" w:color="auto" w:fill="auto"/>
          </w:tcPr>
          <w:p w14:paraId="3BA2B584" w14:textId="65FF3826" w:rsidR="005B7614" w:rsidRPr="00B15B77" w:rsidRDefault="000E3DD0" w:rsidP="00D9707F">
            <w:pPr>
              <w:spacing w:after="120"/>
              <w:cnfStyle w:val="000000100000" w:firstRow="0" w:lastRow="0" w:firstColumn="0" w:lastColumn="0" w:oddVBand="0" w:evenVBand="0" w:oddHBand="1" w:evenHBand="0" w:firstRowFirstColumn="0" w:firstRowLastColumn="0" w:lastRowFirstColumn="0" w:lastRowLastColumn="0"/>
              <w:rPr>
                <w:bCs/>
                <w:color w:val="000000" w:themeColor="text1"/>
                <w:sz w:val="16"/>
                <w:szCs w:val="16"/>
              </w:rPr>
            </w:pPr>
            <w:r>
              <w:rPr>
                <w:bCs/>
                <w:color w:val="000000" w:themeColor="text1"/>
                <w:sz w:val="16"/>
                <w:szCs w:val="16"/>
              </w:rPr>
              <w:t>H</w:t>
            </w:r>
            <w:r w:rsidRPr="000E3DD0">
              <w:rPr>
                <w:bCs/>
                <w:color w:val="000000" w:themeColor="text1"/>
                <w:sz w:val="16"/>
                <w:szCs w:val="16"/>
              </w:rPr>
              <w:t>igh</w:t>
            </w:r>
          </w:p>
        </w:tc>
        <w:tc>
          <w:tcPr>
            <w:tcW w:w="2043" w:type="dxa"/>
            <w:shd w:val="clear" w:color="auto" w:fill="auto"/>
          </w:tcPr>
          <w:p w14:paraId="5780ECB6" w14:textId="20CBC6AC" w:rsidR="00AD1494" w:rsidRDefault="00AD1494" w:rsidP="00CE4051">
            <w:pPr>
              <w:tabs>
                <w:tab w:val="left" w:pos="419"/>
              </w:tabs>
              <w:cnfStyle w:val="000000100000" w:firstRow="0" w:lastRow="0" w:firstColumn="0" w:lastColumn="0" w:oddVBand="0" w:evenVBand="0" w:oddHBand="1" w:evenHBand="0" w:firstRowFirstColumn="0" w:firstRowLastColumn="0" w:lastRowFirstColumn="0" w:lastRowLastColumn="0"/>
              <w:rPr>
                <w:bCs/>
                <w:color w:val="000000" w:themeColor="text1"/>
                <w:sz w:val="16"/>
                <w:szCs w:val="16"/>
              </w:rPr>
            </w:pPr>
            <w:r>
              <w:rPr>
                <w:bCs/>
                <w:color w:val="000000" w:themeColor="text1"/>
                <w:sz w:val="16"/>
                <w:szCs w:val="16"/>
              </w:rPr>
              <w:t xml:space="preserve">UNDP will utilize </w:t>
            </w:r>
            <w:r w:rsidR="00E72154">
              <w:rPr>
                <w:bCs/>
                <w:color w:val="000000" w:themeColor="text1"/>
                <w:sz w:val="16"/>
                <w:szCs w:val="16"/>
              </w:rPr>
              <w:t xml:space="preserve">support </w:t>
            </w:r>
            <w:r>
              <w:rPr>
                <w:bCs/>
                <w:color w:val="000000" w:themeColor="text1"/>
                <w:sz w:val="16"/>
                <w:szCs w:val="16"/>
              </w:rPr>
              <w:t xml:space="preserve">of other </w:t>
            </w:r>
            <w:r w:rsidR="00CE4051">
              <w:rPr>
                <w:bCs/>
                <w:color w:val="000000" w:themeColor="text1"/>
                <w:sz w:val="16"/>
                <w:szCs w:val="16"/>
              </w:rPr>
              <w:t xml:space="preserve">UNDP </w:t>
            </w:r>
            <w:r>
              <w:rPr>
                <w:bCs/>
                <w:color w:val="000000" w:themeColor="text1"/>
                <w:sz w:val="16"/>
                <w:szCs w:val="16"/>
              </w:rPr>
              <w:t xml:space="preserve">Country Offices </w:t>
            </w:r>
            <w:r w:rsidR="00F33410">
              <w:rPr>
                <w:bCs/>
                <w:color w:val="000000" w:themeColor="text1"/>
                <w:sz w:val="16"/>
                <w:szCs w:val="16"/>
              </w:rPr>
              <w:t>in the region and beyond</w:t>
            </w:r>
            <w:r w:rsidR="006E25B5">
              <w:rPr>
                <w:bCs/>
                <w:color w:val="000000" w:themeColor="text1"/>
                <w:sz w:val="16"/>
                <w:szCs w:val="16"/>
              </w:rPr>
              <w:t xml:space="preserve">, to identify relevant expertise, in addition </w:t>
            </w:r>
            <w:r w:rsidR="001B31F1">
              <w:rPr>
                <w:bCs/>
                <w:color w:val="000000" w:themeColor="text1"/>
                <w:sz w:val="16"/>
                <w:szCs w:val="16"/>
              </w:rPr>
              <w:t>to</w:t>
            </w:r>
            <w:r w:rsidR="006E25B5">
              <w:rPr>
                <w:bCs/>
                <w:color w:val="000000" w:themeColor="text1"/>
                <w:sz w:val="16"/>
                <w:szCs w:val="16"/>
              </w:rPr>
              <w:t xml:space="preserve"> UNDP</w:t>
            </w:r>
            <w:r w:rsidR="001B31F1">
              <w:rPr>
                <w:bCs/>
                <w:color w:val="000000" w:themeColor="text1"/>
                <w:sz w:val="16"/>
                <w:szCs w:val="16"/>
              </w:rPr>
              <w:t xml:space="preserve"> </w:t>
            </w:r>
            <w:r w:rsidR="006E25B5">
              <w:rPr>
                <w:bCs/>
                <w:color w:val="000000" w:themeColor="text1"/>
                <w:sz w:val="16"/>
                <w:szCs w:val="16"/>
              </w:rPr>
              <w:t>Roster</w:t>
            </w:r>
            <w:r w:rsidR="001B31F1">
              <w:rPr>
                <w:bCs/>
                <w:color w:val="000000" w:themeColor="text1"/>
                <w:sz w:val="16"/>
                <w:szCs w:val="16"/>
              </w:rPr>
              <w:t>.</w:t>
            </w:r>
          </w:p>
          <w:p w14:paraId="6C1A51EE" w14:textId="0A128379" w:rsidR="00AD1494" w:rsidRPr="00AD1494" w:rsidRDefault="00AD1494" w:rsidP="00CE4051">
            <w:pPr>
              <w:tabs>
                <w:tab w:val="left" w:pos="419"/>
              </w:tabs>
              <w:cnfStyle w:val="000000100000" w:firstRow="0" w:lastRow="0" w:firstColumn="0" w:lastColumn="0" w:oddVBand="0" w:evenVBand="0" w:oddHBand="1" w:evenHBand="0" w:firstRowFirstColumn="0" w:firstRowLastColumn="0" w:lastRowFirstColumn="0" w:lastRowLastColumn="0"/>
              <w:rPr>
                <w:bCs/>
                <w:color w:val="000000" w:themeColor="text1"/>
                <w:sz w:val="16"/>
                <w:szCs w:val="16"/>
              </w:rPr>
            </w:pPr>
            <w:r w:rsidRPr="00AD1494">
              <w:rPr>
                <w:bCs/>
                <w:color w:val="000000" w:themeColor="text1"/>
                <w:sz w:val="16"/>
                <w:szCs w:val="16"/>
              </w:rPr>
              <w:t>Regular meetings with procurement unit to ensure smooth and timely engagement of contractors</w:t>
            </w:r>
            <w:r w:rsidR="00F33410">
              <w:rPr>
                <w:bCs/>
                <w:color w:val="000000" w:themeColor="text1"/>
                <w:sz w:val="16"/>
                <w:szCs w:val="16"/>
              </w:rPr>
              <w:t>.</w:t>
            </w:r>
          </w:p>
        </w:tc>
        <w:tc>
          <w:tcPr>
            <w:tcW w:w="1362" w:type="dxa"/>
            <w:shd w:val="clear" w:color="auto" w:fill="auto"/>
          </w:tcPr>
          <w:p w14:paraId="48C61484" w14:textId="1B520679" w:rsidR="005B7614" w:rsidRPr="00B15B77" w:rsidRDefault="00F33410" w:rsidP="00D9707F">
            <w:pPr>
              <w:spacing w:after="120"/>
              <w:cnfStyle w:val="000000100000" w:firstRow="0" w:lastRow="0" w:firstColumn="0" w:lastColumn="0" w:oddVBand="0" w:evenVBand="0" w:oddHBand="1" w:evenHBand="0" w:firstRowFirstColumn="0" w:firstRowLastColumn="0" w:lastRowFirstColumn="0" w:lastRowLastColumn="0"/>
              <w:rPr>
                <w:bCs/>
                <w:color w:val="000000" w:themeColor="text1"/>
                <w:sz w:val="16"/>
                <w:szCs w:val="16"/>
              </w:rPr>
            </w:pPr>
            <w:r>
              <w:rPr>
                <w:bCs/>
                <w:color w:val="000000" w:themeColor="text1"/>
                <w:sz w:val="16"/>
                <w:szCs w:val="16"/>
              </w:rPr>
              <w:t>UNDP</w:t>
            </w:r>
          </w:p>
        </w:tc>
      </w:tr>
    </w:tbl>
    <w:p w14:paraId="15291AD8" w14:textId="72E26A13" w:rsidR="3C4AE267" w:rsidRDefault="3C4AE267" w:rsidP="3C4AE267"/>
    <w:p w14:paraId="5DDAFB15" w14:textId="77777777" w:rsidR="00E35122" w:rsidRPr="00E35122" w:rsidRDefault="00E35122" w:rsidP="00E35122">
      <w:pPr>
        <w:tabs>
          <w:tab w:val="left" w:pos="720"/>
          <w:tab w:val="left" w:pos="7200"/>
        </w:tabs>
        <w:jc w:val="both"/>
        <w:rPr>
          <w:b/>
          <w:color w:val="276E8B" w:themeColor="accent1" w:themeShade="BF"/>
        </w:rPr>
      </w:pPr>
    </w:p>
    <w:p w14:paraId="70C1865E" w14:textId="77777777" w:rsidR="00E35122" w:rsidRDefault="00E35122" w:rsidP="00E35122">
      <w:pPr>
        <w:pStyle w:val="ListParagraph"/>
        <w:tabs>
          <w:tab w:val="left" w:pos="720"/>
          <w:tab w:val="left" w:pos="7200"/>
        </w:tabs>
        <w:jc w:val="both"/>
        <w:rPr>
          <w:b/>
          <w:color w:val="276E8B" w:themeColor="accent1" w:themeShade="BF"/>
        </w:rPr>
      </w:pPr>
    </w:p>
    <w:p w14:paraId="58975F27" w14:textId="77777777" w:rsidR="00E35122" w:rsidRDefault="00E35122" w:rsidP="00E35122">
      <w:pPr>
        <w:pStyle w:val="ListParagraph"/>
        <w:tabs>
          <w:tab w:val="left" w:pos="720"/>
          <w:tab w:val="left" w:pos="7200"/>
        </w:tabs>
        <w:jc w:val="both"/>
        <w:rPr>
          <w:b/>
          <w:color w:val="276E8B" w:themeColor="accent1" w:themeShade="BF"/>
        </w:rPr>
      </w:pPr>
    </w:p>
    <w:p w14:paraId="7CD21B6B" w14:textId="422A35AE" w:rsidR="00EB75BA" w:rsidRPr="00DF5814" w:rsidRDefault="00EB75BA" w:rsidP="004E2B59">
      <w:pPr>
        <w:pStyle w:val="ListParagraph"/>
        <w:numPr>
          <w:ilvl w:val="2"/>
          <w:numId w:val="32"/>
        </w:numPr>
        <w:tabs>
          <w:tab w:val="left" w:pos="720"/>
          <w:tab w:val="left" w:pos="7200"/>
        </w:tabs>
        <w:jc w:val="both"/>
        <w:rPr>
          <w:b/>
          <w:color w:val="276E8B" w:themeColor="accent1" w:themeShade="BF"/>
        </w:rPr>
      </w:pPr>
      <w:r w:rsidRPr="009F49EE">
        <w:rPr>
          <w:b/>
          <w:color w:val="276E8B" w:themeColor="accent1" w:themeShade="BF"/>
        </w:rPr>
        <w:t>Sanctions and Restrictive Measures</w:t>
      </w:r>
    </w:p>
    <w:p w14:paraId="741F4660" w14:textId="4EE21E90" w:rsidR="003F5356" w:rsidRPr="00A84B1E" w:rsidRDefault="003F5356" w:rsidP="003F5356">
      <w:pPr>
        <w:spacing w:before="120" w:after="120" w:line="240" w:lineRule="auto"/>
        <w:jc w:val="both"/>
        <w:rPr>
          <w:rFonts w:ascii="Arial" w:eastAsia="Arial" w:hAnsi="Arial" w:cs="Arial"/>
          <w:sz w:val="20"/>
          <w:szCs w:val="20"/>
        </w:rPr>
      </w:pPr>
      <w:r w:rsidRPr="00A84B1E">
        <w:rPr>
          <w:rFonts w:ascii="Arial" w:eastAsia="Arial" w:hAnsi="Arial" w:cs="Arial"/>
          <w:sz w:val="20"/>
          <w:szCs w:val="20"/>
        </w:rPr>
        <w:t xml:space="preserve">UNDP as the Delivery Partner will undertake all reasonable efforts to ensure that none of the grant funds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9" w:history="1">
        <w:r w:rsidRPr="00A84B1E">
          <w:rPr>
            <w:rStyle w:val="Hyperlink"/>
            <w:rFonts w:ascii="Arial" w:eastAsia="Arial" w:hAnsi="Arial" w:cs="Arial"/>
            <w:color w:val="auto"/>
            <w:sz w:val="20"/>
            <w:szCs w:val="20"/>
          </w:rPr>
          <w:t>https://www.un.org/securitycouncil/content/un-scconsolidated-</w:t>
        </w:r>
      </w:hyperlink>
      <w:r w:rsidRPr="00A84B1E">
        <w:rPr>
          <w:rFonts w:ascii="Arial" w:eastAsia="Arial" w:hAnsi="Arial" w:cs="Arial"/>
          <w:sz w:val="20"/>
          <w:szCs w:val="20"/>
        </w:rPr>
        <w:t xml:space="preserve">list.There are no UNSC restrictive measures in force within </w:t>
      </w:r>
      <w:r w:rsidRPr="00A84B1E">
        <w:rPr>
          <w:sz w:val="20"/>
          <w:szCs w:val="20"/>
        </w:rPr>
        <w:t>the Kyrgyz Republic.</w:t>
      </w:r>
    </w:p>
    <w:p w14:paraId="7E6A269E" w14:textId="77777777" w:rsidR="003F5356" w:rsidRPr="00A84B1E" w:rsidRDefault="003F5356" w:rsidP="003F5356">
      <w:pPr>
        <w:spacing w:before="120" w:after="120" w:line="240" w:lineRule="auto"/>
        <w:jc w:val="both"/>
        <w:rPr>
          <w:rFonts w:ascii="Arial" w:eastAsia="Arial" w:hAnsi="Arial" w:cs="Arial"/>
          <w:sz w:val="20"/>
          <w:szCs w:val="20"/>
        </w:rPr>
      </w:pPr>
      <w:r w:rsidRPr="00A84B1E">
        <w:rPr>
          <w:rFonts w:ascii="Arial" w:eastAsia="Arial" w:hAnsi="Arial" w:cs="Arial"/>
          <w:sz w:val="20"/>
          <w:szCs w:val="20"/>
        </w:rPr>
        <w:t>UNDP, by virtue of being an organ of the United Nations and therefore being part of the same entity, is also beholden to the principles on countering the financing of terrorism. UNDP systematically screens all entities being contracted by our partner with UNDP against the Consolidated UN Security Council Sanctions List. This is built into the capacity screening tools for partners, as well as in the Standard Operating Procedures (SOP) for Vendor Management. UNDP also secures contractual representations from its national implementing partners that address risks of funds received for implementation of projects being used to support individuals or entities associated with terrorism and recipients of any amounts provided by UNDP hereunder appearing on the Consolidated UN Sanctions Lists.</w:t>
      </w:r>
    </w:p>
    <w:p w14:paraId="61FADB28" w14:textId="77777777" w:rsidR="003F5356" w:rsidRPr="00A84B1E" w:rsidRDefault="003F5356" w:rsidP="003F5356">
      <w:pPr>
        <w:spacing w:before="120" w:after="120" w:line="240" w:lineRule="auto"/>
        <w:jc w:val="both"/>
        <w:rPr>
          <w:rFonts w:ascii="Arial" w:eastAsia="Arial" w:hAnsi="Arial" w:cs="Arial"/>
          <w:sz w:val="20"/>
          <w:szCs w:val="20"/>
        </w:rPr>
      </w:pPr>
      <w:r w:rsidRPr="00A84B1E">
        <w:rPr>
          <w:rFonts w:ascii="Arial" w:eastAsia="Arial" w:hAnsi="Arial" w:cs="Arial"/>
          <w:sz w:val="20"/>
          <w:szCs w:val="20"/>
        </w:rPr>
        <w:t>This is further supplemented by internal controls to mitigate the risks, including due diligence requirements for partners and private entities UNDP intends to engage with. When developing a new project, UNDP ensures that risks are fully identified and considered in the project design and processes and that adequate and effective measures to prevent, monitor, and address such risks are put in place.</w:t>
      </w:r>
    </w:p>
    <w:p w14:paraId="46C4B55C" w14:textId="77777777" w:rsidR="003F5356" w:rsidRPr="00A84B1E" w:rsidRDefault="003F5356" w:rsidP="003F5356">
      <w:pPr>
        <w:spacing w:before="120" w:after="120" w:line="240" w:lineRule="auto"/>
        <w:jc w:val="both"/>
        <w:rPr>
          <w:rFonts w:ascii="Arial" w:eastAsia="Arial" w:hAnsi="Arial" w:cs="Arial"/>
          <w:sz w:val="20"/>
          <w:szCs w:val="20"/>
        </w:rPr>
      </w:pPr>
      <w:r w:rsidRPr="00A84B1E">
        <w:rPr>
          <w:rFonts w:ascii="Arial" w:eastAsia="Arial" w:hAnsi="Arial" w:cs="Arial"/>
          <w:sz w:val="20"/>
          <w:szCs w:val="20"/>
        </w:rPr>
        <w:lastRenderedPageBreak/>
        <w:t>The normal verification of vendors on the sanctions list is done by checking the UNGM ineligibility list at various stages of the procurement processes - at the evaluation, in the submission to the Procurement Review Committees, further verified by the Procurement Review Committees prior to the award of contracts and at the point of vendor creation in ATLAS. These checks are documented in the evaluation reports. The UNGM Ineligibility list automatically compares the details of vendors registering on UNGM or any vendor that is searched on the site with the details of companies or individuals on lists such as the Consolidated United Nations Security Council Sanctions List (CUNSCSL), World Bank's Listing of Ineligible Firms &amp; Individuals, and lists of sanctioned/suspended vendors maintained by UN organizations. It specifically compares the company name, contacts and email addresses of registered vendors with the details on the mentioned lists. It is an automated search engine that is utilized by all UN Agencies.</w:t>
      </w:r>
    </w:p>
    <w:p w14:paraId="3E62207E" w14:textId="41E3C428" w:rsidR="003F5356" w:rsidRPr="00A84B1E" w:rsidRDefault="003F5356" w:rsidP="003F5356">
      <w:pPr>
        <w:spacing w:before="120" w:after="120" w:line="240" w:lineRule="auto"/>
        <w:rPr>
          <w:rFonts w:ascii="Arial" w:eastAsia="Arial" w:hAnsi="Arial" w:cs="Arial"/>
          <w:sz w:val="20"/>
          <w:szCs w:val="20"/>
        </w:rPr>
      </w:pPr>
      <w:r w:rsidRPr="00A84B1E">
        <w:rPr>
          <w:rFonts w:ascii="Arial" w:eastAsia="Arial" w:hAnsi="Arial" w:cs="Arial"/>
          <w:sz w:val="20"/>
          <w:szCs w:val="20"/>
        </w:rPr>
        <w:t xml:space="preserve">The UNDP Regulations and Rules include a policy for protection against retaliation. This policy can be publicly accessed (Please refer to: </w:t>
      </w:r>
      <w:hyperlink r:id="rId30">
        <w:r w:rsidRPr="00A84B1E">
          <w:rPr>
            <w:rFonts w:eastAsia="Arial"/>
            <w:sz w:val="20"/>
            <w:szCs w:val="20"/>
          </w:rPr>
          <w:t>https://popp.undp.org/_layouts/15/WopiFrame.aspx?sourcedoc=/UNDP_POPP_DOCUMENT_LIBRARY/Public/Ethics_Protection%20against%20Retaliation.docx&amp;action=default</w:t>
        </w:r>
      </w:hyperlink>
      <w:r w:rsidRPr="00A84B1E">
        <w:rPr>
          <w:rFonts w:ascii="Arial" w:eastAsia="Arial" w:hAnsi="Arial" w:cs="Arial"/>
          <w:sz w:val="20"/>
          <w:szCs w:val="20"/>
        </w:rPr>
        <w:t>)</w:t>
      </w:r>
    </w:p>
    <w:p w14:paraId="2C99BD8A" w14:textId="69956825" w:rsidR="003F5356" w:rsidRPr="00A84B1E" w:rsidRDefault="003F5356" w:rsidP="00A84B1E">
      <w:pPr>
        <w:spacing w:before="120" w:after="120" w:line="240" w:lineRule="auto"/>
        <w:jc w:val="both"/>
        <w:rPr>
          <w:rFonts w:ascii="Arial" w:eastAsia="Arial" w:hAnsi="Arial" w:cs="Arial"/>
          <w:sz w:val="20"/>
          <w:szCs w:val="20"/>
        </w:rPr>
      </w:pPr>
      <w:r w:rsidRPr="00A84B1E">
        <w:rPr>
          <w:rFonts w:ascii="Arial" w:eastAsia="Arial" w:hAnsi="Arial" w:cs="Arial"/>
          <w:sz w:val="20"/>
          <w:szCs w:val="20"/>
        </w:rPr>
        <w:t>It is the Policy of UNDP that Retaliation against individuals holding UNDP assignments/contracts (i.e., staff members, interns, UN Volunteers and contractors) who have, in good faith, properly reported allegations of misconduct, or who have cooperated with a duly authorized audit or investigation, is strictly prohibited. Such Retaliation violates the fundamental obligation of all staff members to uphold the highest standards of efficiency, competence and integrity as required under the UN Charter, and to discharge their functions and regulate their conduct with the interests of UNDP only in view.</w:t>
      </w:r>
    </w:p>
    <w:p w14:paraId="4143559D" w14:textId="730F3F7B" w:rsidR="00EB75BA" w:rsidRPr="00DF5814" w:rsidRDefault="00EB75BA" w:rsidP="004E2B59">
      <w:pPr>
        <w:pStyle w:val="ListParagraph"/>
        <w:numPr>
          <w:ilvl w:val="2"/>
          <w:numId w:val="32"/>
        </w:numPr>
        <w:tabs>
          <w:tab w:val="left" w:pos="720"/>
          <w:tab w:val="left" w:pos="7200"/>
        </w:tabs>
        <w:jc w:val="both"/>
        <w:rPr>
          <w:b/>
          <w:color w:val="276E8B" w:themeColor="accent1" w:themeShade="BF"/>
        </w:rPr>
      </w:pPr>
      <w:r w:rsidRPr="009F49EE">
        <w:rPr>
          <w:b/>
          <w:color w:val="276E8B" w:themeColor="accent1" w:themeShade="BF"/>
        </w:rPr>
        <w:t>Grievance Redress Mechanisms</w:t>
      </w:r>
    </w:p>
    <w:p w14:paraId="35DD6DCE" w14:textId="35CE3202" w:rsidR="00B160FF" w:rsidRPr="00A84B1E" w:rsidRDefault="00B160FF" w:rsidP="00B160FF">
      <w:pPr>
        <w:tabs>
          <w:tab w:val="left" w:pos="720"/>
          <w:tab w:val="left" w:pos="7200"/>
        </w:tabs>
        <w:spacing w:before="120" w:after="120" w:line="240" w:lineRule="auto"/>
        <w:jc w:val="both"/>
        <w:rPr>
          <w:rFonts w:ascii="Arial" w:eastAsia="Arial" w:hAnsi="Arial" w:cs="Arial"/>
          <w:sz w:val="20"/>
          <w:szCs w:val="20"/>
        </w:rPr>
      </w:pPr>
      <w:r w:rsidRPr="00A84B1E">
        <w:rPr>
          <w:rFonts w:ascii="Arial" w:eastAsia="Arial" w:hAnsi="Arial" w:cs="Arial"/>
          <w:sz w:val="20"/>
          <w:szCs w:val="20"/>
        </w:rPr>
        <w:t>UNDP promotes accountability to programme and project stakeholders by (i) enabling active local community engagement and participation in decision-making, particularly those at risk of being left behind; (ii) ensuring transparency of programming interventions through provision of timely, accessible and functional information regarding supported activities, including on potential environmental and social risks and impacts and management measures; (iii) ensuring stakeholders can communicate their concerns and have access to rights-compatible complaints redress processes and mechanisms; and (iv) ensuring effective monitoring—and where appropriate, participatory monitoring with stakeholders</w:t>
      </w:r>
      <w:r w:rsidR="00047485" w:rsidRPr="00A84B1E">
        <w:rPr>
          <w:rFonts w:ascii="Arial" w:eastAsia="Arial" w:hAnsi="Arial" w:cs="Arial"/>
          <w:sz w:val="20"/>
          <w:szCs w:val="20"/>
        </w:rPr>
        <w:t xml:space="preserve"> - </w:t>
      </w:r>
      <w:r w:rsidRPr="00A84B1E">
        <w:rPr>
          <w:rFonts w:ascii="Arial" w:eastAsia="Arial" w:hAnsi="Arial" w:cs="Arial"/>
          <w:sz w:val="20"/>
          <w:szCs w:val="20"/>
        </w:rPr>
        <w:t>and reporting on implementation of social and environmental risk management measures.</w:t>
      </w:r>
    </w:p>
    <w:p w14:paraId="0ACA52F4" w14:textId="77777777" w:rsidR="00B160FF" w:rsidRPr="00A84B1E" w:rsidRDefault="00B160FF" w:rsidP="00B160FF">
      <w:pPr>
        <w:spacing w:before="120" w:after="120" w:line="240" w:lineRule="auto"/>
        <w:jc w:val="both"/>
        <w:rPr>
          <w:rFonts w:ascii="Arial" w:eastAsia="Arial" w:hAnsi="Arial" w:cs="Arial"/>
          <w:sz w:val="20"/>
          <w:szCs w:val="20"/>
        </w:rPr>
      </w:pPr>
      <w:r w:rsidRPr="00A84B1E">
        <w:rPr>
          <w:rFonts w:ascii="Arial" w:eastAsia="Arial" w:hAnsi="Arial" w:cs="Arial"/>
          <w:sz w:val="20"/>
          <w:szCs w:val="20"/>
        </w:rPr>
        <w:t>UNDP recognizes that even with strong planning and stakeholder engagement, unanticipated issues can still arise. Therefore, various channels and mechanisms are available to promote accountability and transparency.</w:t>
      </w:r>
    </w:p>
    <w:p w14:paraId="50BB6ED9" w14:textId="77777777" w:rsidR="00B160FF" w:rsidRPr="00A84B1E" w:rsidRDefault="00B160FF" w:rsidP="00B160FF">
      <w:pPr>
        <w:spacing w:before="120" w:after="120" w:line="240" w:lineRule="auto"/>
        <w:jc w:val="both"/>
        <w:rPr>
          <w:rFonts w:ascii="Arial" w:eastAsia="Arial" w:hAnsi="Arial" w:cs="Arial"/>
          <w:sz w:val="20"/>
          <w:szCs w:val="20"/>
        </w:rPr>
      </w:pPr>
      <w:r w:rsidRPr="00A84B1E">
        <w:rPr>
          <w:rFonts w:ascii="Arial" w:eastAsia="Arial" w:hAnsi="Arial" w:cs="Arial"/>
          <w:sz w:val="20"/>
          <w:szCs w:val="20"/>
        </w:rPr>
        <w:t xml:space="preserve">The Grievance Redress Mechanism opens the possibility for individuals and communities to submit complaints and feedback directly to UNDP when they believe that a project implemented by UNDP affects or may be having an adverse impact on them, their community or the environment. The project-level GRM functions on two levels: at the Project Management level, under the direction of the Project Manager (supported by the project management unit), and as part of UNDP’s Project Assurance role in consultation with and in support of the Project Board. UNDP is responsible for the Project Assurance function, under the direction of the UNDP Deputy Resident Representative. </w:t>
      </w:r>
    </w:p>
    <w:p w14:paraId="41984F6D" w14:textId="77777777" w:rsidR="00B160FF" w:rsidRPr="00A84B1E" w:rsidRDefault="00B160FF" w:rsidP="00B160FF">
      <w:pPr>
        <w:spacing w:before="120" w:after="120" w:line="240" w:lineRule="auto"/>
        <w:jc w:val="both"/>
        <w:rPr>
          <w:rFonts w:eastAsia="Arial" w:cstheme="minorHAnsi"/>
          <w:sz w:val="20"/>
          <w:szCs w:val="20"/>
        </w:rPr>
      </w:pPr>
      <w:r w:rsidRPr="00A84B1E">
        <w:rPr>
          <w:rFonts w:ascii="Arial" w:eastAsia="Arial" w:hAnsi="Arial" w:cs="Arial"/>
          <w:sz w:val="20"/>
          <w:szCs w:val="20"/>
        </w:rPr>
        <w:t xml:space="preserve">Additionally, UNDP's social and environmental standards are underpinned by an Accountability Mechanism with two key components: (i) the Stakeholder Response Mechanism (SRM) (at the Country Office level and HQ level) that ensures individuals, peoples, and communities affected by projects have access to appropriate grievance resolution procedures for hearing and jointly addressing complaints and </w:t>
      </w:r>
      <w:r w:rsidRPr="00A84B1E">
        <w:rPr>
          <w:rFonts w:eastAsia="Arial" w:cstheme="minorHAnsi"/>
          <w:sz w:val="20"/>
          <w:szCs w:val="20"/>
        </w:rPr>
        <w:t xml:space="preserve">disputes related to the social and/or environmental impacts of UNDP-supported projects; and (ii) the Social and Environmental Compliance Unit (SECU) which investigates alleged non-compliance with UNDP's Social and Environmental Standards and screening procedure from project-affected stakeholders and recommends measures to address findings of non-compliance. For more details, refer to </w:t>
      </w:r>
      <w:hyperlink r:id="rId31" w:history="1">
        <w:hyperlink r:id="rId32" w:history="1">
          <w:r w:rsidRPr="00A84B1E">
            <w:rPr>
              <w:rStyle w:val="Hyperlink"/>
              <w:rFonts w:eastAsia="Arial" w:cstheme="minorHAnsi"/>
              <w:sz w:val="20"/>
              <w:szCs w:val="20"/>
            </w:rPr>
            <w:t>UNDP Accountability</w:t>
          </w:r>
        </w:hyperlink>
      </w:hyperlink>
      <w:r w:rsidRPr="00A84B1E">
        <w:rPr>
          <w:rFonts w:eastAsia="Arial" w:cstheme="minorHAnsi"/>
          <w:sz w:val="20"/>
          <w:szCs w:val="20"/>
        </w:rPr>
        <w:t>.</w:t>
      </w:r>
    </w:p>
    <w:p w14:paraId="2E050F93" w14:textId="77777777" w:rsidR="00B160FF" w:rsidRPr="00A84B1E" w:rsidRDefault="00B160FF" w:rsidP="00B160FF">
      <w:pPr>
        <w:tabs>
          <w:tab w:val="left" w:pos="720"/>
          <w:tab w:val="left" w:pos="7200"/>
        </w:tabs>
        <w:spacing w:before="120" w:after="120" w:line="240" w:lineRule="auto"/>
        <w:jc w:val="both"/>
        <w:rPr>
          <w:rFonts w:cstheme="minorHAnsi"/>
          <w:sz w:val="20"/>
          <w:szCs w:val="20"/>
        </w:rPr>
      </w:pPr>
      <w:r w:rsidRPr="00A84B1E">
        <w:rPr>
          <w:rFonts w:cstheme="minorHAnsi"/>
          <w:sz w:val="20"/>
          <w:szCs w:val="20"/>
        </w:rPr>
        <w:t xml:space="preserve">Further, UNDP has a policy for reporting misconduct and a strict </w:t>
      </w:r>
      <w:r w:rsidRPr="00A84B1E">
        <w:rPr>
          <w:rFonts w:cstheme="minorHAnsi"/>
          <w:b/>
          <w:bCs/>
          <w:sz w:val="20"/>
          <w:szCs w:val="20"/>
        </w:rPr>
        <w:t>Policy for Protection Against Retaliation</w:t>
      </w:r>
      <w:r w:rsidRPr="00A84B1E">
        <w:rPr>
          <w:rFonts w:cstheme="minorHAnsi"/>
          <w:sz w:val="20"/>
          <w:szCs w:val="20"/>
        </w:rPr>
        <w:t xml:space="preserve"> for reporting misconduct and cooperating with a duly authorized audit or</w:t>
      </w:r>
      <w:r w:rsidRPr="00A84B1E">
        <w:rPr>
          <w:rFonts w:cstheme="minorHAnsi"/>
          <w:color w:val="808080" w:themeColor="background1" w:themeShade="80"/>
          <w:sz w:val="20"/>
          <w:szCs w:val="20"/>
        </w:rPr>
        <w:t xml:space="preserve"> </w:t>
      </w:r>
      <w:r w:rsidRPr="00A84B1E">
        <w:rPr>
          <w:rFonts w:cstheme="minorHAnsi"/>
          <w:sz w:val="20"/>
          <w:szCs w:val="20"/>
        </w:rPr>
        <w:t>investigation.</w:t>
      </w:r>
    </w:p>
    <w:p w14:paraId="133354C5" w14:textId="77777777" w:rsidR="00B160FF" w:rsidRPr="00A84B1E" w:rsidRDefault="00B160FF" w:rsidP="00B160FF">
      <w:pPr>
        <w:tabs>
          <w:tab w:val="left" w:pos="720"/>
          <w:tab w:val="left" w:pos="7200"/>
        </w:tabs>
        <w:spacing w:before="120" w:after="120" w:line="240" w:lineRule="auto"/>
        <w:jc w:val="both"/>
        <w:rPr>
          <w:rFonts w:cstheme="minorHAnsi"/>
          <w:color w:val="808080" w:themeColor="background1" w:themeShade="80"/>
          <w:sz w:val="20"/>
          <w:szCs w:val="20"/>
        </w:rPr>
      </w:pPr>
      <w:r w:rsidRPr="00A84B1E">
        <w:rPr>
          <w:rFonts w:cstheme="minorHAnsi"/>
          <w:sz w:val="20"/>
          <w:szCs w:val="20"/>
        </w:rPr>
        <w:t>Below are links to key UNDP documents and registries:</w:t>
      </w:r>
    </w:p>
    <w:p w14:paraId="3347BF4B" w14:textId="77777777" w:rsidR="00B160FF" w:rsidRPr="00A84B1E" w:rsidRDefault="00B160FF" w:rsidP="00163FD5">
      <w:pPr>
        <w:pStyle w:val="Default"/>
        <w:numPr>
          <w:ilvl w:val="0"/>
          <w:numId w:val="6"/>
        </w:numPr>
        <w:spacing w:before="120" w:after="120"/>
        <w:ind w:left="426"/>
        <w:jc w:val="both"/>
        <w:rPr>
          <w:rFonts w:asciiTheme="minorHAnsi" w:hAnsiTheme="minorHAnsi" w:cstheme="minorHAnsi"/>
          <w:sz w:val="20"/>
          <w:szCs w:val="20"/>
          <w:lang w:val="en-US"/>
        </w:rPr>
      </w:pPr>
      <w:r w:rsidRPr="00A84B1E">
        <w:rPr>
          <w:rFonts w:asciiTheme="minorHAnsi" w:hAnsiTheme="minorHAnsi" w:cstheme="minorHAnsi"/>
          <w:sz w:val="20"/>
          <w:szCs w:val="20"/>
          <w:lang w:val="en-US"/>
        </w:rPr>
        <w:t xml:space="preserve">Link 1: UNDP Accountability: </w:t>
      </w:r>
    </w:p>
    <w:p w14:paraId="62825CC9" w14:textId="77777777" w:rsidR="00B160FF" w:rsidRPr="00A84B1E" w:rsidRDefault="00B160FF" w:rsidP="00B160FF">
      <w:pPr>
        <w:pStyle w:val="Default"/>
        <w:spacing w:before="120" w:after="120"/>
        <w:ind w:left="426"/>
        <w:jc w:val="both"/>
        <w:rPr>
          <w:rStyle w:val="Hyperlink"/>
          <w:rFonts w:asciiTheme="minorHAnsi" w:hAnsiTheme="minorHAnsi" w:cstheme="minorHAnsi"/>
          <w:sz w:val="20"/>
          <w:szCs w:val="20"/>
          <w:lang w:val="en-US"/>
        </w:rPr>
      </w:pPr>
      <w:hyperlink r:id="rId33" w:history="1">
        <w:r w:rsidRPr="00A84B1E">
          <w:rPr>
            <w:rStyle w:val="Hyperlink"/>
            <w:rFonts w:asciiTheme="minorHAnsi" w:hAnsiTheme="minorHAnsi" w:cstheme="minorHAnsi"/>
            <w:sz w:val="20"/>
            <w:szCs w:val="20"/>
            <w:lang w:val="en-US"/>
          </w:rPr>
          <w:t>https://www.undp.org/accountability/audit/social-and-environmental-compliance-review-and-stakeholder-response-mechanism</w:t>
        </w:r>
      </w:hyperlink>
    </w:p>
    <w:p w14:paraId="1946EAE7" w14:textId="77777777" w:rsidR="00B160FF" w:rsidRPr="00A84B1E" w:rsidRDefault="00B160FF" w:rsidP="00163FD5">
      <w:pPr>
        <w:pStyle w:val="Default"/>
        <w:numPr>
          <w:ilvl w:val="0"/>
          <w:numId w:val="6"/>
        </w:numPr>
        <w:spacing w:before="120" w:after="120"/>
        <w:ind w:left="426"/>
        <w:jc w:val="both"/>
        <w:rPr>
          <w:rFonts w:asciiTheme="minorHAnsi" w:hAnsiTheme="minorHAnsi" w:cstheme="minorHAnsi"/>
          <w:color w:val="0462C1"/>
          <w:sz w:val="20"/>
          <w:szCs w:val="20"/>
          <w:lang w:val="en-US"/>
        </w:rPr>
      </w:pPr>
      <w:r w:rsidRPr="00A84B1E">
        <w:rPr>
          <w:rFonts w:asciiTheme="minorHAnsi" w:hAnsiTheme="minorHAnsi" w:cstheme="minorHAnsi"/>
          <w:sz w:val="20"/>
          <w:szCs w:val="20"/>
          <w:lang w:val="en-US"/>
        </w:rPr>
        <w:t xml:space="preserve">Link 2: Stakeholder Response Mechanism - Case Registry: </w:t>
      </w:r>
      <w:hyperlink r:id="rId34" w:history="1">
        <w:r w:rsidRPr="00A84B1E">
          <w:rPr>
            <w:rStyle w:val="Hyperlink"/>
            <w:rFonts w:asciiTheme="minorHAnsi" w:hAnsiTheme="minorHAnsi" w:cstheme="minorHAnsi"/>
            <w:sz w:val="20"/>
            <w:szCs w:val="20"/>
            <w:lang w:val="en-US"/>
          </w:rPr>
          <w:t>https://srm.info.undp.org/</w:t>
        </w:r>
      </w:hyperlink>
      <w:r w:rsidRPr="00A84B1E">
        <w:rPr>
          <w:rFonts w:asciiTheme="minorHAnsi" w:hAnsiTheme="minorHAnsi" w:cstheme="minorHAnsi"/>
          <w:color w:val="0462C1"/>
          <w:sz w:val="20"/>
          <w:szCs w:val="20"/>
          <w:lang w:val="en-US"/>
        </w:rPr>
        <w:t xml:space="preserve"> </w:t>
      </w:r>
    </w:p>
    <w:p w14:paraId="4A0FE362" w14:textId="77777777" w:rsidR="00B160FF" w:rsidRPr="00A84B1E" w:rsidRDefault="00B160FF" w:rsidP="00163FD5">
      <w:pPr>
        <w:pStyle w:val="Default"/>
        <w:numPr>
          <w:ilvl w:val="0"/>
          <w:numId w:val="6"/>
        </w:numPr>
        <w:spacing w:before="120" w:after="120"/>
        <w:ind w:left="426"/>
        <w:jc w:val="both"/>
        <w:rPr>
          <w:rFonts w:asciiTheme="minorHAnsi" w:hAnsiTheme="minorHAnsi" w:cstheme="minorHAnsi"/>
          <w:sz w:val="20"/>
          <w:szCs w:val="20"/>
          <w:lang w:val="en-US"/>
        </w:rPr>
      </w:pPr>
      <w:r w:rsidRPr="00A84B1E">
        <w:rPr>
          <w:rFonts w:asciiTheme="minorHAnsi" w:hAnsiTheme="minorHAnsi" w:cstheme="minorHAnsi"/>
          <w:sz w:val="20"/>
          <w:szCs w:val="20"/>
          <w:lang w:val="en-US"/>
        </w:rPr>
        <w:t xml:space="preserve">Link 3: Social and Environmental Compliance- Case Registry: </w:t>
      </w:r>
    </w:p>
    <w:p w14:paraId="5E92F2F4" w14:textId="77777777" w:rsidR="00B160FF" w:rsidRPr="00A84B1E" w:rsidRDefault="00B160FF" w:rsidP="00B160FF">
      <w:pPr>
        <w:pStyle w:val="Default"/>
        <w:spacing w:before="120" w:after="120"/>
        <w:ind w:left="426"/>
        <w:jc w:val="both"/>
        <w:rPr>
          <w:rFonts w:asciiTheme="minorHAnsi" w:hAnsiTheme="minorHAnsi" w:cstheme="minorHAnsi"/>
          <w:color w:val="0462C1"/>
          <w:sz w:val="20"/>
          <w:szCs w:val="20"/>
          <w:lang w:val="en-US"/>
        </w:rPr>
      </w:pPr>
      <w:hyperlink r:id="rId35" w:history="1">
        <w:r w:rsidRPr="00A84B1E">
          <w:rPr>
            <w:rStyle w:val="Hyperlink"/>
            <w:rFonts w:asciiTheme="minorHAnsi" w:hAnsiTheme="minorHAnsi" w:cstheme="minorHAnsi"/>
            <w:sz w:val="20"/>
            <w:szCs w:val="20"/>
            <w:lang w:val="en-US"/>
          </w:rPr>
          <w:t>https://secu.info.undp.org/</w:t>
        </w:r>
      </w:hyperlink>
      <w:r w:rsidRPr="00A84B1E">
        <w:rPr>
          <w:rFonts w:asciiTheme="minorHAnsi" w:hAnsiTheme="minorHAnsi" w:cstheme="minorHAnsi"/>
          <w:color w:val="0462C1"/>
          <w:sz w:val="20"/>
          <w:szCs w:val="20"/>
          <w:lang w:val="en-US"/>
        </w:rPr>
        <w:t xml:space="preserve"> </w:t>
      </w:r>
    </w:p>
    <w:p w14:paraId="1E5FDE48" w14:textId="77777777" w:rsidR="00B160FF" w:rsidRPr="00A84B1E" w:rsidRDefault="00B160FF" w:rsidP="00163FD5">
      <w:pPr>
        <w:pStyle w:val="Default"/>
        <w:numPr>
          <w:ilvl w:val="0"/>
          <w:numId w:val="6"/>
        </w:numPr>
        <w:spacing w:before="120" w:after="120"/>
        <w:ind w:left="426"/>
        <w:jc w:val="both"/>
        <w:rPr>
          <w:rFonts w:asciiTheme="minorHAnsi" w:hAnsiTheme="minorHAnsi" w:cstheme="minorHAnsi"/>
          <w:sz w:val="20"/>
          <w:szCs w:val="20"/>
          <w:lang w:val="en-US"/>
        </w:rPr>
      </w:pPr>
      <w:r w:rsidRPr="00A84B1E">
        <w:rPr>
          <w:rFonts w:asciiTheme="minorHAnsi" w:hAnsiTheme="minorHAnsi" w:cstheme="minorHAnsi"/>
          <w:sz w:val="20"/>
          <w:szCs w:val="20"/>
          <w:lang w:val="en-US"/>
        </w:rPr>
        <w:t>Link 4: Project-level grievance redress mechanisms:</w:t>
      </w:r>
    </w:p>
    <w:p w14:paraId="73F8C024" w14:textId="426151EA" w:rsidR="003D657C" w:rsidRPr="00047485" w:rsidRDefault="00B160FF" w:rsidP="00047485">
      <w:pPr>
        <w:pStyle w:val="Default"/>
        <w:spacing w:before="120" w:after="120"/>
        <w:ind w:left="426"/>
        <w:jc w:val="both"/>
        <w:rPr>
          <w:rFonts w:asciiTheme="minorHAnsi" w:hAnsiTheme="minorHAnsi" w:cstheme="minorHAnsi"/>
          <w:color w:val="6B9F25" w:themeColor="hyperlink"/>
          <w:sz w:val="20"/>
          <w:szCs w:val="20"/>
          <w:u w:val="single"/>
          <w:lang w:val="en-US"/>
        </w:rPr>
      </w:pPr>
      <w:hyperlink r:id="rId36" w:history="1">
        <w:r w:rsidRPr="00A84B1E">
          <w:rPr>
            <w:rStyle w:val="Hyperlink"/>
            <w:rFonts w:asciiTheme="minorHAnsi" w:hAnsiTheme="minorHAnsi" w:cstheme="minorHAnsi"/>
            <w:sz w:val="20"/>
            <w:szCs w:val="20"/>
            <w:lang w:val="en-US"/>
          </w:rPr>
          <w:t>https://info.undp.org/sites/bpps/SES_Toolkit/SES%20Document%20Library/Uploaded%20October%202016/UNDP%20SES%20Supplemental%20Guidance_Grievance%20Redress%20Mechanisms.pdf</w:t>
        </w:r>
      </w:hyperlink>
    </w:p>
    <w:p w14:paraId="292DBA76" w14:textId="77777777" w:rsidR="00240DF6" w:rsidRPr="00BC4E42" w:rsidRDefault="00240DF6" w:rsidP="00BC4E42">
      <w:pPr>
        <w:jc w:val="both"/>
        <w:rPr>
          <w:color w:val="808080" w:themeColor="background1" w:themeShade="80"/>
        </w:rPr>
      </w:pPr>
    </w:p>
    <w:p w14:paraId="4317CA87" w14:textId="13A4E7FD" w:rsidR="00F97840" w:rsidRPr="00D51F60" w:rsidRDefault="00F97840" w:rsidP="004E2B59">
      <w:pPr>
        <w:pStyle w:val="ListParagraph"/>
        <w:numPr>
          <w:ilvl w:val="1"/>
          <w:numId w:val="32"/>
        </w:numPr>
        <w:tabs>
          <w:tab w:val="left" w:pos="720"/>
          <w:tab w:val="left" w:pos="7200"/>
        </w:tabs>
        <w:rPr>
          <w:b/>
          <w:color w:val="276E8B" w:themeColor="accent1" w:themeShade="BF"/>
        </w:rPr>
      </w:pPr>
      <w:r w:rsidRPr="00D51F60">
        <w:rPr>
          <w:b/>
          <w:color w:val="276E8B" w:themeColor="accent1" w:themeShade="BF"/>
        </w:rPr>
        <w:t>Monitoring</w:t>
      </w:r>
      <w:r w:rsidR="007E7D29">
        <w:rPr>
          <w:b/>
          <w:color w:val="276E8B" w:themeColor="accent1" w:themeShade="BF"/>
        </w:rPr>
        <w:t xml:space="preserve"> </w:t>
      </w:r>
    </w:p>
    <w:p w14:paraId="769901F8" w14:textId="77777777" w:rsidR="000C0052" w:rsidRPr="007E6DB4" w:rsidRDefault="000C0052" w:rsidP="000C0052">
      <w:pPr>
        <w:tabs>
          <w:tab w:val="left" w:pos="720"/>
          <w:tab w:val="left" w:pos="7200"/>
        </w:tabs>
        <w:spacing w:before="120" w:after="120" w:line="240" w:lineRule="auto"/>
        <w:jc w:val="both"/>
        <w:rPr>
          <w:sz w:val="20"/>
          <w:szCs w:val="20"/>
        </w:rPr>
      </w:pPr>
      <w:r w:rsidRPr="007E6DB4">
        <w:rPr>
          <w:sz w:val="20"/>
          <w:szCs w:val="20"/>
        </w:rPr>
        <w:t>Project monitoring will be led by UNDP as the DP in close coordination with the NDA. The</w:t>
      </w:r>
      <w:r w:rsidRPr="007E6DB4">
        <w:rPr>
          <w:spacing w:val="1"/>
          <w:sz w:val="20"/>
          <w:szCs w:val="20"/>
        </w:rPr>
        <w:t xml:space="preserve"> </w:t>
      </w:r>
      <w:r w:rsidRPr="007E6DB4">
        <w:rPr>
          <w:sz w:val="20"/>
          <w:szCs w:val="20"/>
        </w:rPr>
        <w:t>monitoring of the project activities aims at achieving projected results and quality control.</w:t>
      </w:r>
      <w:r w:rsidRPr="007E6DB4">
        <w:rPr>
          <w:spacing w:val="1"/>
          <w:sz w:val="20"/>
          <w:szCs w:val="20"/>
        </w:rPr>
        <w:t xml:space="preserve"> </w:t>
      </w:r>
      <w:r w:rsidRPr="007E6DB4">
        <w:rPr>
          <w:sz w:val="20"/>
          <w:szCs w:val="20"/>
        </w:rPr>
        <w:t>Activity</w:t>
      </w:r>
      <w:r w:rsidRPr="007E6DB4">
        <w:rPr>
          <w:spacing w:val="-5"/>
          <w:sz w:val="20"/>
          <w:szCs w:val="20"/>
        </w:rPr>
        <w:t xml:space="preserve"> </w:t>
      </w:r>
      <w:r w:rsidRPr="007E6DB4">
        <w:rPr>
          <w:sz w:val="20"/>
          <w:szCs w:val="20"/>
        </w:rPr>
        <w:t>monitoring</w:t>
      </w:r>
      <w:r w:rsidRPr="007E6DB4">
        <w:rPr>
          <w:spacing w:val="-3"/>
          <w:sz w:val="20"/>
          <w:szCs w:val="20"/>
        </w:rPr>
        <w:t xml:space="preserve"> </w:t>
      </w:r>
      <w:r w:rsidRPr="007E6DB4">
        <w:rPr>
          <w:sz w:val="20"/>
          <w:szCs w:val="20"/>
        </w:rPr>
        <w:t>will</w:t>
      </w:r>
      <w:r w:rsidRPr="007E6DB4">
        <w:rPr>
          <w:spacing w:val="-2"/>
          <w:sz w:val="20"/>
          <w:szCs w:val="20"/>
        </w:rPr>
        <w:t xml:space="preserve"> </w:t>
      </w:r>
      <w:r w:rsidRPr="007E6DB4">
        <w:rPr>
          <w:sz w:val="20"/>
          <w:szCs w:val="20"/>
        </w:rPr>
        <w:t>take</w:t>
      </w:r>
      <w:r w:rsidRPr="007E6DB4">
        <w:rPr>
          <w:spacing w:val="-3"/>
          <w:sz w:val="20"/>
          <w:szCs w:val="20"/>
        </w:rPr>
        <w:t xml:space="preserve"> </w:t>
      </w:r>
      <w:r w:rsidRPr="007E6DB4">
        <w:rPr>
          <w:sz w:val="20"/>
          <w:szCs w:val="20"/>
        </w:rPr>
        <w:t>place</w:t>
      </w:r>
      <w:r w:rsidRPr="007E6DB4">
        <w:rPr>
          <w:spacing w:val="-4"/>
          <w:sz w:val="20"/>
          <w:szCs w:val="20"/>
        </w:rPr>
        <w:t xml:space="preserve"> </w:t>
      </w:r>
      <w:r w:rsidRPr="007E6DB4">
        <w:rPr>
          <w:sz w:val="20"/>
          <w:szCs w:val="20"/>
        </w:rPr>
        <w:t>as</w:t>
      </w:r>
      <w:r w:rsidRPr="007E6DB4">
        <w:rPr>
          <w:spacing w:val="-5"/>
          <w:sz w:val="20"/>
          <w:szCs w:val="20"/>
        </w:rPr>
        <w:t xml:space="preserve"> </w:t>
      </w:r>
      <w:r w:rsidRPr="007E6DB4">
        <w:rPr>
          <w:sz w:val="20"/>
          <w:szCs w:val="20"/>
        </w:rPr>
        <w:t>project</w:t>
      </w:r>
      <w:r w:rsidRPr="007E6DB4">
        <w:rPr>
          <w:spacing w:val="-1"/>
          <w:sz w:val="20"/>
          <w:szCs w:val="20"/>
        </w:rPr>
        <w:t xml:space="preserve"> </w:t>
      </w:r>
      <w:r w:rsidRPr="007E6DB4">
        <w:rPr>
          <w:sz w:val="20"/>
          <w:szCs w:val="20"/>
        </w:rPr>
        <w:t>interventions</w:t>
      </w:r>
      <w:r w:rsidRPr="007E6DB4">
        <w:rPr>
          <w:spacing w:val="-1"/>
          <w:sz w:val="20"/>
          <w:szCs w:val="20"/>
        </w:rPr>
        <w:t xml:space="preserve"> </w:t>
      </w:r>
      <w:r w:rsidRPr="007E6DB4">
        <w:rPr>
          <w:sz w:val="20"/>
          <w:szCs w:val="20"/>
        </w:rPr>
        <w:t>occur.</w:t>
      </w:r>
      <w:r w:rsidRPr="007E6DB4">
        <w:rPr>
          <w:spacing w:val="-1"/>
          <w:sz w:val="20"/>
          <w:szCs w:val="20"/>
        </w:rPr>
        <w:t xml:space="preserve"> </w:t>
      </w:r>
      <w:r w:rsidRPr="007E6DB4">
        <w:rPr>
          <w:sz w:val="20"/>
          <w:szCs w:val="20"/>
        </w:rPr>
        <w:t>Project</w:t>
      </w:r>
      <w:r w:rsidRPr="007E6DB4">
        <w:rPr>
          <w:spacing w:val="-4"/>
          <w:sz w:val="20"/>
          <w:szCs w:val="20"/>
        </w:rPr>
        <w:t xml:space="preserve"> </w:t>
      </w:r>
      <w:r w:rsidRPr="007E6DB4">
        <w:rPr>
          <w:sz w:val="20"/>
          <w:szCs w:val="20"/>
        </w:rPr>
        <w:t>outputs</w:t>
      </w:r>
      <w:r w:rsidRPr="007E6DB4">
        <w:rPr>
          <w:spacing w:val="-4"/>
          <w:sz w:val="20"/>
          <w:szCs w:val="20"/>
        </w:rPr>
        <w:t xml:space="preserve"> </w:t>
      </w:r>
      <w:r w:rsidRPr="007E6DB4">
        <w:rPr>
          <w:sz w:val="20"/>
          <w:szCs w:val="20"/>
        </w:rPr>
        <w:t>and</w:t>
      </w:r>
      <w:r w:rsidRPr="007E6DB4">
        <w:rPr>
          <w:spacing w:val="-5"/>
          <w:sz w:val="20"/>
          <w:szCs w:val="20"/>
        </w:rPr>
        <w:t xml:space="preserve"> </w:t>
      </w:r>
      <w:r w:rsidRPr="007E6DB4">
        <w:rPr>
          <w:sz w:val="20"/>
          <w:szCs w:val="20"/>
        </w:rPr>
        <w:t>risks</w:t>
      </w:r>
      <w:r w:rsidRPr="007E6DB4">
        <w:rPr>
          <w:spacing w:val="-1"/>
          <w:sz w:val="20"/>
          <w:szCs w:val="20"/>
        </w:rPr>
        <w:t xml:space="preserve"> </w:t>
      </w:r>
      <w:r w:rsidRPr="007E6DB4">
        <w:rPr>
          <w:sz w:val="20"/>
          <w:szCs w:val="20"/>
        </w:rPr>
        <w:t>will</w:t>
      </w:r>
      <w:r w:rsidRPr="007E6DB4">
        <w:rPr>
          <w:spacing w:val="-59"/>
          <w:sz w:val="20"/>
          <w:szCs w:val="20"/>
        </w:rPr>
        <w:t xml:space="preserve"> </w:t>
      </w:r>
      <w:r w:rsidRPr="007E6DB4">
        <w:rPr>
          <w:sz w:val="20"/>
          <w:szCs w:val="20"/>
        </w:rPr>
        <w:t>be monitored as part of the ongoing discussion</w:t>
      </w:r>
      <w:r w:rsidRPr="007E6DB4">
        <w:rPr>
          <w:spacing w:val="1"/>
          <w:sz w:val="20"/>
          <w:szCs w:val="20"/>
        </w:rPr>
        <w:t xml:space="preserve"> </w:t>
      </w:r>
      <w:r w:rsidRPr="007E6DB4">
        <w:rPr>
          <w:sz w:val="20"/>
          <w:szCs w:val="20"/>
        </w:rPr>
        <w:t>and reporting to the GCF Empowered</w:t>
      </w:r>
      <w:r w:rsidRPr="007E6DB4">
        <w:rPr>
          <w:spacing w:val="1"/>
          <w:sz w:val="20"/>
          <w:szCs w:val="20"/>
        </w:rPr>
        <w:t xml:space="preserve"> </w:t>
      </w:r>
      <w:r w:rsidRPr="007E6DB4">
        <w:rPr>
          <w:sz w:val="20"/>
          <w:szCs w:val="20"/>
        </w:rPr>
        <w:t>Committee formulated by the Ministry. Reporting will be submitted to GCF in alignment with</w:t>
      </w:r>
      <w:r w:rsidRPr="007E6DB4">
        <w:rPr>
          <w:spacing w:val="1"/>
          <w:sz w:val="20"/>
          <w:szCs w:val="20"/>
        </w:rPr>
        <w:t xml:space="preserve"> </w:t>
      </w:r>
      <w:r w:rsidRPr="007E6DB4">
        <w:rPr>
          <w:sz w:val="20"/>
          <w:szCs w:val="20"/>
        </w:rPr>
        <w:t>the</w:t>
      </w:r>
      <w:r w:rsidRPr="007E6DB4">
        <w:rPr>
          <w:spacing w:val="-3"/>
          <w:sz w:val="20"/>
          <w:szCs w:val="20"/>
        </w:rPr>
        <w:t xml:space="preserve"> </w:t>
      </w:r>
      <w:r w:rsidRPr="007E6DB4">
        <w:rPr>
          <w:sz w:val="20"/>
          <w:szCs w:val="20"/>
        </w:rPr>
        <w:t>framework</w:t>
      </w:r>
      <w:r w:rsidRPr="007E6DB4">
        <w:rPr>
          <w:spacing w:val="-1"/>
          <w:sz w:val="20"/>
          <w:szCs w:val="20"/>
        </w:rPr>
        <w:t xml:space="preserve"> </w:t>
      </w:r>
      <w:r w:rsidRPr="007E6DB4">
        <w:rPr>
          <w:sz w:val="20"/>
          <w:szCs w:val="20"/>
        </w:rPr>
        <w:t>agreement.</w:t>
      </w:r>
    </w:p>
    <w:p w14:paraId="66ED808D" w14:textId="28584EFF" w:rsidR="000C0052" w:rsidRPr="007E6DB4" w:rsidRDefault="000C0052" w:rsidP="000C0052">
      <w:pPr>
        <w:tabs>
          <w:tab w:val="left" w:pos="720"/>
          <w:tab w:val="left" w:pos="7200"/>
        </w:tabs>
        <w:spacing w:before="120" w:after="120" w:line="240" w:lineRule="auto"/>
        <w:jc w:val="both"/>
        <w:rPr>
          <w:sz w:val="20"/>
          <w:szCs w:val="20"/>
        </w:rPr>
      </w:pPr>
      <w:r w:rsidRPr="007E6DB4">
        <w:rPr>
          <w:sz w:val="20"/>
          <w:szCs w:val="20"/>
        </w:rPr>
        <w:t>All project activities will be monitored on a regular basis based against the expected outputs</w:t>
      </w:r>
      <w:r w:rsidRPr="007E6DB4">
        <w:rPr>
          <w:spacing w:val="1"/>
          <w:sz w:val="20"/>
          <w:szCs w:val="20"/>
        </w:rPr>
        <w:t xml:space="preserve"> </w:t>
      </w:r>
      <w:r w:rsidRPr="007E6DB4">
        <w:rPr>
          <w:sz w:val="20"/>
          <w:szCs w:val="20"/>
        </w:rPr>
        <w:t>identified</w:t>
      </w:r>
      <w:r w:rsidRPr="007E6DB4">
        <w:rPr>
          <w:spacing w:val="-7"/>
          <w:sz w:val="20"/>
          <w:szCs w:val="20"/>
        </w:rPr>
        <w:t xml:space="preserve"> </w:t>
      </w:r>
      <w:r w:rsidRPr="007E6DB4">
        <w:rPr>
          <w:sz w:val="20"/>
          <w:szCs w:val="20"/>
        </w:rPr>
        <w:t>in</w:t>
      </w:r>
      <w:r w:rsidRPr="007E6DB4">
        <w:rPr>
          <w:spacing w:val="-6"/>
          <w:sz w:val="20"/>
          <w:szCs w:val="20"/>
        </w:rPr>
        <w:t xml:space="preserve"> </w:t>
      </w:r>
      <w:r w:rsidRPr="007E6DB4">
        <w:rPr>
          <w:sz w:val="20"/>
          <w:szCs w:val="20"/>
        </w:rPr>
        <w:t>the</w:t>
      </w:r>
      <w:r w:rsidRPr="007E6DB4">
        <w:rPr>
          <w:spacing w:val="-6"/>
          <w:sz w:val="20"/>
          <w:szCs w:val="20"/>
        </w:rPr>
        <w:t xml:space="preserve"> </w:t>
      </w:r>
      <w:r w:rsidRPr="007E6DB4">
        <w:rPr>
          <w:sz w:val="20"/>
          <w:szCs w:val="20"/>
        </w:rPr>
        <w:t>logical</w:t>
      </w:r>
      <w:r w:rsidRPr="007E6DB4">
        <w:rPr>
          <w:spacing w:val="-7"/>
          <w:sz w:val="20"/>
          <w:szCs w:val="20"/>
        </w:rPr>
        <w:t xml:space="preserve"> </w:t>
      </w:r>
      <w:r w:rsidRPr="007E6DB4">
        <w:rPr>
          <w:sz w:val="20"/>
          <w:szCs w:val="20"/>
        </w:rPr>
        <w:t>framework.</w:t>
      </w:r>
      <w:r w:rsidRPr="007E6DB4">
        <w:rPr>
          <w:spacing w:val="-6"/>
          <w:sz w:val="20"/>
          <w:szCs w:val="20"/>
        </w:rPr>
        <w:t xml:space="preserve"> </w:t>
      </w:r>
      <w:r w:rsidRPr="007E6DB4">
        <w:rPr>
          <w:sz w:val="20"/>
          <w:szCs w:val="20"/>
        </w:rPr>
        <w:t>This</w:t>
      </w:r>
      <w:r w:rsidRPr="007E6DB4">
        <w:rPr>
          <w:spacing w:val="-6"/>
          <w:sz w:val="20"/>
          <w:szCs w:val="20"/>
        </w:rPr>
        <w:t xml:space="preserve"> </w:t>
      </w:r>
      <w:r w:rsidRPr="007E6DB4">
        <w:rPr>
          <w:sz w:val="20"/>
          <w:szCs w:val="20"/>
        </w:rPr>
        <w:t>is</w:t>
      </w:r>
      <w:r w:rsidRPr="007E6DB4">
        <w:rPr>
          <w:spacing w:val="-6"/>
          <w:sz w:val="20"/>
          <w:szCs w:val="20"/>
        </w:rPr>
        <w:t xml:space="preserve"> </w:t>
      </w:r>
      <w:r w:rsidRPr="007E6DB4">
        <w:rPr>
          <w:sz w:val="20"/>
          <w:szCs w:val="20"/>
        </w:rPr>
        <w:t>the</w:t>
      </w:r>
      <w:r w:rsidRPr="007E6DB4">
        <w:rPr>
          <w:spacing w:val="-7"/>
          <w:sz w:val="20"/>
          <w:szCs w:val="20"/>
        </w:rPr>
        <w:t xml:space="preserve"> </w:t>
      </w:r>
      <w:r w:rsidRPr="007E6DB4">
        <w:rPr>
          <w:sz w:val="20"/>
          <w:szCs w:val="20"/>
        </w:rPr>
        <w:t>primary</w:t>
      </w:r>
      <w:r w:rsidRPr="007E6DB4">
        <w:rPr>
          <w:spacing w:val="-6"/>
          <w:sz w:val="20"/>
          <w:szCs w:val="20"/>
        </w:rPr>
        <w:t xml:space="preserve"> </w:t>
      </w:r>
      <w:r w:rsidRPr="007E6DB4">
        <w:rPr>
          <w:sz w:val="20"/>
          <w:szCs w:val="20"/>
        </w:rPr>
        <w:t>responsibility</w:t>
      </w:r>
      <w:r w:rsidRPr="007E6DB4">
        <w:rPr>
          <w:spacing w:val="-6"/>
          <w:sz w:val="20"/>
          <w:szCs w:val="20"/>
        </w:rPr>
        <w:t xml:space="preserve"> </w:t>
      </w:r>
      <w:r w:rsidRPr="007E6DB4">
        <w:rPr>
          <w:sz w:val="20"/>
          <w:szCs w:val="20"/>
        </w:rPr>
        <w:t>of</w:t>
      </w:r>
      <w:r w:rsidRPr="007E6DB4">
        <w:rPr>
          <w:spacing w:val="-5"/>
          <w:sz w:val="20"/>
          <w:szCs w:val="20"/>
        </w:rPr>
        <w:t xml:space="preserve"> </w:t>
      </w:r>
      <w:r w:rsidRPr="007E6DB4">
        <w:rPr>
          <w:sz w:val="20"/>
          <w:szCs w:val="20"/>
        </w:rPr>
        <w:t>the</w:t>
      </w:r>
      <w:r w:rsidRPr="007E6DB4">
        <w:rPr>
          <w:spacing w:val="-7"/>
          <w:sz w:val="20"/>
          <w:szCs w:val="20"/>
        </w:rPr>
        <w:t xml:space="preserve"> </w:t>
      </w:r>
      <w:r w:rsidRPr="007E6DB4">
        <w:rPr>
          <w:sz w:val="20"/>
          <w:szCs w:val="20"/>
        </w:rPr>
        <w:t>project</w:t>
      </w:r>
      <w:r w:rsidRPr="007E6DB4">
        <w:rPr>
          <w:spacing w:val="-7"/>
          <w:sz w:val="20"/>
          <w:szCs w:val="20"/>
        </w:rPr>
        <w:t xml:space="preserve"> </w:t>
      </w:r>
      <w:r w:rsidRPr="007E6DB4">
        <w:rPr>
          <w:sz w:val="20"/>
          <w:szCs w:val="20"/>
        </w:rPr>
        <w:t>manager.</w:t>
      </w:r>
      <w:r w:rsidRPr="007E6DB4">
        <w:rPr>
          <w:spacing w:val="-6"/>
          <w:sz w:val="20"/>
          <w:szCs w:val="20"/>
        </w:rPr>
        <w:t xml:space="preserve"> </w:t>
      </w:r>
      <w:r w:rsidRPr="007E6DB4">
        <w:rPr>
          <w:sz w:val="20"/>
          <w:szCs w:val="20"/>
        </w:rPr>
        <w:t>UNDP</w:t>
      </w:r>
      <w:r w:rsidRPr="007E6DB4">
        <w:rPr>
          <w:spacing w:val="-7"/>
          <w:sz w:val="20"/>
          <w:szCs w:val="20"/>
        </w:rPr>
        <w:t xml:space="preserve"> </w:t>
      </w:r>
      <w:r w:rsidRPr="007E6DB4">
        <w:rPr>
          <w:sz w:val="20"/>
          <w:szCs w:val="20"/>
        </w:rPr>
        <w:t>will</w:t>
      </w:r>
      <w:r w:rsidRPr="007E6DB4">
        <w:rPr>
          <w:spacing w:val="-58"/>
          <w:sz w:val="20"/>
          <w:szCs w:val="20"/>
        </w:rPr>
        <w:t xml:space="preserve"> </w:t>
      </w:r>
      <w:r w:rsidRPr="007E6DB4">
        <w:rPr>
          <w:sz w:val="20"/>
          <w:szCs w:val="20"/>
        </w:rPr>
        <w:t>be</w:t>
      </w:r>
      <w:r w:rsidRPr="007E6DB4">
        <w:rPr>
          <w:spacing w:val="-7"/>
          <w:sz w:val="20"/>
          <w:szCs w:val="20"/>
        </w:rPr>
        <w:t xml:space="preserve"> </w:t>
      </w:r>
      <w:r w:rsidRPr="007E6DB4">
        <w:rPr>
          <w:sz w:val="20"/>
          <w:szCs w:val="20"/>
        </w:rPr>
        <w:t>responsible</w:t>
      </w:r>
      <w:r w:rsidRPr="007E6DB4">
        <w:rPr>
          <w:spacing w:val="-6"/>
          <w:sz w:val="20"/>
          <w:szCs w:val="20"/>
        </w:rPr>
        <w:t xml:space="preserve"> </w:t>
      </w:r>
      <w:r w:rsidRPr="007E6DB4">
        <w:rPr>
          <w:sz w:val="20"/>
          <w:szCs w:val="20"/>
        </w:rPr>
        <w:t>for</w:t>
      </w:r>
      <w:r w:rsidRPr="007E6DB4">
        <w:rPr>
          <w:spacing w:val="-6"/>
          <w:sz w:val="20"/>
          <w:szCs w:val="20"/>
        </w:rPr>
        <w:t xml:space="preserve"> </w:t>
      </w:r>
      <w:r w:rsidRPr="007E6DB4">
        <w:rPr>
          <w:sz w:val="20"/>
          <w:szCs w:val="20"/>
        </w:rPr>
        <w:t>complying</w:t>
      </w:r>
      <w:r w:rsidRPr="007E6DB4">
        <w:rPr>
          <w:spacing w:val="-3"/>
          <w:sz w:val="20"/>
          <w:szCs w:val="20"/>
        </w:rPr>
        <w:t xml:space="preserve"> </w:t>
      </w:r>
      <w:r w:rsidRPr="007E6DB4">
        <w:rPr>
          <w:sz w:val="20"/>
          <w:szCs w:val="20"/>
        </w:rPr>
        <w:t>with</w:t>
      </w:r>
      <w:r w:rsidRPr="007E6DB4">
        <w:rPr>
          <w:spacing w:val="-6"/>
          <w:sz w:val="20"/>
          <w:szCs w:val="20"/>
        </w:rPr>
        <w:t xml:space="preserve"> </w:t>
      </w:r>
      <w:r w:rsidRPr="007E6DB4">
        <w:rPr>
          <w:sz w:val="20"/>
          <w:szCs w:val="20"/>
        </w:rPr>
        <w:t>all</w:t>
      </w:r>
      <w:r w:rsidRPr="007E6DB4">
        <w:rPr>
          <w:spacing w:val="-5"/>
          <w:sz w:val="20"/>
          <w:szCs w:val="20"/>
        </w:rPr>
        <w:t xml:space="preserve"> </w:t>
      </w:r>
      <w:r w:rsidRPr="007E6DB4">
        <w:rPr>
          <w:sz w:val="20"/>
          <w:szCs w:val="20"/>
        </w:rPr>
        <w:t>UNDP</w:t>
      </w:r>
      <w:r w:rsidRPr="007E6DB4">
        <w:rPr>
          <w:spacing w:val="-4"/>
          <w:sz w:val="20"/>
          <w:szCs w:val="20"/>
        </w:rPr>
        <w:t xml:space="preserve"> </w:t>
      </w:r>
      <w:r w:rsidRPr="007E6DB4">
        <w:rPr>
          <w:sz w:val="20"/>
          <w:szCs w:val="20"/>
        </w:rPr>
        <w:t>project-level</w:t>
      </w:r>
      <w:r w:rsidRPr="007E6DB4">
        <w:rPr>
          <w:spacing w:val="-6"/>
          <w:sz w:val="20"/>
          <w:szCs w:val="20"/>
        </w:rPr>
        <w:t xml:space="preserve"> </w:t>
      </w:r>
      <w:r w:rsidRPr="007E6DB4">
        <w:rPr>
          <w:sz w:val="20"/>
          <w:szCs w:val="20"/>
        </w:rPr>
        <w:t>M&amp;E</w:t>
      </w:r>
      <w:r w:rsidRPr="007E6DB4">
        <w:rPr>
          <w:spacing w:val="-7"/>
          <w:sz w:val="20"/>
          <w:szCs w:val="20"/>
        </w:rPr>
        <w:t xml:space="preserve"> </w:t>
      </w:r>
      <w:r w:rsidRPr="007E6DB4">
        <w:rPr>
          <w:sz w:val="20"/>
          <w:szCs w:val="20"/>
        </w:rPr>
        <w:t>requirements</w:t>
      </w:r>
      <w:r w:rsidRPr="007E6DB4">
        <w:rPr>
          <w:spacing w:val="-6"/>
          <w:sz w:val="20"/>
          <w:szCs w:val="20"/>
        </w:rPr>
        <w:t xml:space="preserve"> </w:t>
      </w:r>
      <w:r w:rsidRPr="007E6DB4">
        <w:rPr>
          <w:sz w:val="20"/>
          <w:szCs w:val="20"/>
        </w:rPr>
        <w:t>as</w:t>
      </w:r>
      <w:r w:rsidRPr="007E6DB4">
        <w:rPr>
          <w:spacing w:val="-5"/>
          <w:sz w:val="20"/>
          <w:szCs w:val="20"/>
        </w:rPr>
        <w:t xml:space="preserve"> </w:t>
      </w:r>
      <w:r w:rsidRPr="007E6DB4">
        <w:rPr>
          <w:sz w:val="20"/>
          <w:szCs w:val="20"/>
        </w:rPr>
        <w:t>outlined</w:t>
      </w:r>
      <w:r w:rsidRPr="007E6DB4">
        <w:rPr>
          <w:spacing w:val="-6"/>
          <w:sz w:val="20"/>
          <w:szCs w:val="20"/>
        </w:rPr>
        <w:t xml:space="preserve"> </w:t>
      </w:r>
      <w:r w:rsidRPr="007E6DB4">
        <w:rPr>
          <w:sz w:val="20"/>
          <w:szCs w:val="20"/>
        </w:rPr>
        <w:t>in</w:t>
      </w:r>
      <w:r w:rsidRPr="007E6DB4">
        <w:rPr>
          <w:spacing w:val="-6"/>
          <w:sz w:val="20"/>
          <w:szCs w:val="20"/>
        </w:rPr>
        <w:t xml:space="preserve"> </w:t>
      </w:r>
      <w:r w:rsidRPr="007E6DB4">
        <w:rPr>
          <w:sz w:val="20"/>
          <w:szCs w:val="20"/>
        </w:rPr>
        <w:t>the</w:t>
      </w:r>
      <w:r w:rsidRPr="007E6DB4">
        <w:rPr>
          <w:spacing w:val="-59"/>
          <w:sz w:val="20"/>
          <w:szCs w:val="20"/>
        </w:rPr>
        <w:t xml:space="preserve"> </w:t>
      </w:r>
      <w:r w:rsidR="00DD0940" w:rsidRPr="007E6DB4">
        <w:rPr>
          <w:spacing w:val="-59"/>
          <w:sz w:val="20"/>
          <w:szCs w:val="20"/>
        </w:rPr>
        <w:t xml:space="preserve"> </w:t>
      </w:r>
      <w:r w:rsidRPr="007E6DB4">
        <w:rPr>
          <w:sz w:val="20"/>
          <w:szCs w:val="20"/>
        </w:rPr>
        <w:t>UNDP Programme and Operations Policies and Procedures (POPP). This includes ensuring</w:t>
      </w:r>
      <w:r w:rsidRPr="007E6DB4">
        <w:rPr>
          <w:spacing w:val="1"/>
          <w:sz w:val="20"/>
          <w:szCs w:val="20"/>
        </w:rPr>
        <w:t xml:space="preserve"> </w:t>
      </w:r>
      <w:r w:rsidRPr="007E6DB4">
        <w:rPr>
          <w:sz w:val="20"/>
          <w:szCs w:val="20"/>
        </w:rPr>
        <w:t>the UNDP Quality Assurance Assessment during implementation is undertaken annually; the</w:t>
      </w:r>
      <w:r w:rsidRPr="007E6DB4">
        <w:rPr>
          <w:spacing w:val="-59"/>
          <w:sz w:val="20"/>
          <w:szCs w:val="20"/>
        </w:rPr>
        <w:t xml:space="preserve"> </w:t>
      </w:r>
      <w:r w:rsidRPr="007E6DB4">
        <w:rPr>
          <w:sz w:val="20"/>
          <w:szCs w:val="20"/>
        </w:rPr>
        <w:t>regular</w:t>
      </w:r>
      <w:r w:rsidRPr="007E6DB4">
        <w:rPr>
          <w:spacing w:val="-5"/>
          <w:sz w:val="20"/>
          <w:szCs w:val="20"/>
        </w:rPr>
        <w:t xml:space="preserve"> </w:t>
      </w:r>
      <w:r w:rsidRPr="007E6DB4">
        <w:rPr>
          <w:sz w:val="20"/>
          <w:szCs w:val="20"/>
        </w:rPr>
        <w:t>updating</w:t>
      </w:r>
      <w:r w:rsidRPr="007E6DB4">
        <w:rPr>
          <w:spacing w:val="-5"/>
          <w:sz w:val="20"/>
          <w:szCs w:val="20"/>
        </w:rPr>
        <w:t xml:space="preserve"> </w:t>
      </w:r>
      <w:r w:rsidRPr="007E6DB4">
        <w:rPr>
          <w:sz w:val="20"/>
          <w:szCs w:val="20"/>
        </w:rPr>
        <w:t>of</w:t>
      </w:r>
      <w:r w:rsidRPr="007E6DB4">
        <w:rPr>
          <w:spacing w:val="-4"/>
          <w:sz w:val="20"/>
          <w:szCs w:val="20"/>
        </w:rPr>
        <w:t xml:space="preserve"> </w:t>
      </w:r>
      <w:r w:rsidRPr="007E6DB4">
        <w:rPr>
          <w:sz w:val="20"/>
          <w:szCs w:val="20"/>
        </w:rPr>
        <w:t>the</w:t>
      </w:r>
      <w:r w:rsidRPr="007E6DB4">
        <w:rPr>
          <w:spacing w:val="-7"/>
          <w:sz w:val="20"/>
          <w:szCs w:val="20"/>
        </w:rPr>
        <w:t xml:space="preserve"> </w:t>
      </w:r>
      <w:r w:rsidRPr="007E6DB4">
        <w:rPr>
          <w:sz w:val="20"/>
          <w:szCs w:val="20"/>
        </w:rPr>
        <w:t>Quantum</w:t>
      </w:r>
      <w:r w:rsidRPr="007E6DB4">
        <w:rPr>
          <w:spacing w:val="-7"/>
          <w:sz w:val="20"/>
          <w:szCs w:val="20"/>
        </w:rPr>
        <w:t xml:space="preserve"> </w:t>
      </w:r>
      <w:r w:rsidRPr="007E6DB4">
        <w:rPr>
          <w:sz w:val="20"/>
          <w:szCs w:val="20"/>
        </w:rPr>
        <w:t>risk</w:t>
      </w:r>
      <w:r w:rsidRPr="007E6DB4">
        <w:rPr>
          <w:spacing w:val="-4"/>
          <w:sz w:val="20"/>
          <w:szCs w:val="20"/>
        </w:rPr>
        <w:t xml:space="preserve"> </w:t>
      </w:r>
      <w:r w:rsidRPr="007E6DB4">
        <w:rPr>
          <w:sz w:val="20"/>
          <w:szCs w:val="20"/>
        </w:rPr>
        <w:t>log;</w:t>
      </w:r>
      <w:r w:rsidRPr="007E6DB4">
        <w:rPr>
          <w:spacing w:val="-4"/>
          <w:sz w:val="20"/>
          <w:szCs w:val="20"/>
        </w:rPr>
        <w:t xml:space="preserve"> </w:t>
      </w:r>
      <w:r w:rsidRPr="007E6DB4">
        <w:rPr>
          <w:sz w:val="20"/>
          <w:szCs w:val="20"/>
        </w:rPr>
        <w:t>and</w:t>
      </w:r>
      <w:r w:rsidRPr="007E6DB4">
        <w:rPr>
          <w:spacing w:val="-7"/>
          <w:sz w:val="20"/>
          <w:szCs w:val="20"/>
        </w:rPr>
        <w:t xml:space="preserve"> </w:t>
      </w:r>
      <w:r w:rsidRPr="007E6DB4">
        <w:rPr>
          <w:sz w:val="20"/>
          <w:szCs w:val="20"/>
        </w:rPr>
        <w:t>the</w:t>
      </w:r>
      <w:r w:rsidRPr="007E6DB4">
        <w:rPr>
          <w:spacing w:val="-8"/>
          <w:sz w:val="20"/>
          <w:szCs w:val="20"/>
        </w:rPr>
        <w:t xml:space="preserve"> </w:t>
      </w:r>
      <w:r w:rsidRPr="007E6DB4">
        <w:rPr>
          <w:sz w:val="20"/>
          <w:szCs w:val="20"/>
        </w:rPr>
        <w:t>updating</w:t>
      </w:r>
      <w:r w:rsidRPr="007E6DB4">
        <w:rPr>
          <w:spacing w:val="-5"/>
          <w:sz w:val="20"/>
          <w:szCs w:val="20"/>
        </w:rPr>
        <w:t xml:space="preserve"> </w:t>
      </w:r>
      <w:r w:rsidRPr="007E6DB4">
        <w:rPr>
          <w:sz w:val="20"/>
          <w:szCs w:val="20"/>
        </w:rPr>
        <w:t>of</w:t>
      </w:r>
      <w:r w:rsidRPr="007E6DB4">
        <w:rPr>
          <w:spacing w:val="-2"/>
          <w:sz w:val="20"/>
          <w:szCs w:val="20"/>
        </w:rPr>
        <w:t xml:space="preserve"> </w:t>
      </w:r>
      <w:r w:rsidRPr="007E6DB4">
        <w:rPr>
          <w:sz w:val="20"/>
          <w:szCs w:val="20"/>
        </w:rPr>
        <w:t>the</w:t>
      </w:r>
      <w:r w:rsidRPr="007E6DB4">
        <w:rPr>
          <w:spacing w:val="-5"/>
          <w:sz w:val="20"/>
          <w:szCs w:val="20"/>
        </w:rPr>
        <w:t xml:space="preserve"> </w:t>
      </w:r>
      <w:r w:rsidRPr="007E6DB4">
        <w:rPr>
          <w:sz w:val="20"/>
          <w:szCs w:val="20"/>
        </w:rPr>
        <w:t>UNDP</w:t>
      </w:r>
      <w:r w:rsidRPr="007E6DB4">
        <w:rPr>
          <w:spacing w:val="-6"/>
          <w:sz w:val="20"/>
          <w:szCs w:val="20"/>
        </w:rPr>
        <w:t xml:space="preserve"> </w:t>
      </w:r>
      <w:r w:rsidRPr="007E6DB4">
        <w:rPr>
          <w:sz w:val="20"/>
          <w:szCs w:val="20"/>
        </w:rPr>
        <w:t>gender</w:t>
      </w:r>
      <w:r w:rsidRPr="007E6DB4">
        <w:rPr>
          <w:spacing w:val="-4"/>
          <w:sz w:val="20"/>
          <w:szCs w:val="20"/>
        </w:rPr>
        <w:t xml:space="preserve"> </w:t>
      </w:r>
      <w:r w:rsidRPr="007E6DB4">
        <w:rPr>
          <w:sz w:val="20"/>
          <w:szCs w:val="20"/>
        </w:rPr>
        <w:t>marker</w:t>
      </w:r>
      <w:r w:rsidRPr="007E6DB4">
        <w:rPr>
          <w:spacing w:val="-5"/>
          <w:sz w:val="20"/>
          <w:szCs w:val="20"/>
        </w:rPr>
        <w:t xml:space="preserve"> </w:t>
      </w:r>
      <w:r w:rsidRPr="007E6DB4">
        <w:rPr>
          <w:sz w:val="20"/>
          <w:szCs w:val="20"/>
        </w:rPr>
        <w:t>on</w:t>
      </w:r>
      <w:r w:rsidRPr="007E6DB4">
        <w:rPr>
          <w:spacing w:val="-7"/>
          <w:sz w:val="20"/>
          <w:szCs w:val="20"/>
        </w:rPr>
        <w:t xml:space="preserve"> </w:t>
      </w:r>
      <w:r w:rsidRPr="007E6DB4">
        <w:rPr>
          <w:sz w:val="20"/>
          <w:szCs w:val="20"/>
        </w:rPr>
        <w:t>an</w:t>
      </w:r>
      <w:r w:rsidRPr="007E6DB4">
        <w:rPr>
          <w:spacing w:val="-59"/>
          <w:sz w:val="20"/>
          <w:szCs w:val="20"/>
        </w:rPr>
        <w:t xml:space="preserve"> </w:t>
      </w:r>
      <w:r w:rsidRPr="007E6DB4">
        <w:rPr>
          <w:sz w:val="20"/>
          <w:szCs w:val="20"/>
        </w:rPr>
        <w:t>annual basis. Any quality concerns flagged during these monitoring activities (e.g., Annual</w:t>
      </w:r>
      <w:r w:rsidRPr="007E6DB4">
        <w:rPr>
          <w:spacing w:val="1"/>
          <w:sz w:val="20"/>
          <w:szCs w:val="20"/>
        </w:rPr>
        <w:t xml:space="preserve"> </w:t>
      </w:r>
      <w:r w:rsidRPr="007E6DB4">
        <w:rPr>
          <w:sz w:val="20"/>
          <w:szCs w:val="20"/>
        </w:rPr>
        <w:t>Project Report quality assessment ratings) will be addressed by the PMU. UNDP will also</w:t>
      </w:r>
      <w:r w:rsidRPr="007E6DB4">
        <w:rPr>
          <w:spacing w:val="1"/>
          <w:sz w:val="20"/>
          <w:szCs w:val="20"/>
        </w:rPr>
        <w:t xml:space="preserve"> </w:t>
      </w:r>
      <w:r w:rsidRPr="007E6DB4">
        <w:rPr>
          <w:sz w:val="20"/>
          <w:szCs w:val="20"/>
        </w:rPr>
        <w:t>ensure</w:t>
      </w:r>
      <w:r w:rsidRPr="007E6DB4">
        <w:rPr>
          <w:spacing w:val="-13"/>
          <w:sz w:val="20"/>
          <w:szCs w:val="20"/>
        </w:rPr>
        <w:t xml:space="preserve"> </w:t>
      </w:r>
      <w:r w:rsidRPr="007E6DB4">
        <w:rPr>
          <w:sz w:val="20"/>
          <w:szCs w:val="20"/>
        </w:rPr>
        <w:t>that</w:t>
      </w:r>
      <w:r w:rsidRPr="007E6DB4">
        <w:rPr>
          <w:spacing w:val="-11"/>
          <w:sz w:val="20"/>
          <w:szCs w:val="20"/>
        </w:rPr>
        <w:t xml:space="preserve"> </w:t>
      </w:r>
      <w:r w:rsidRPr="007E6DB4">
        <w:rPr>
          <w:sz w:val="20"/>
          <w:szCs w:val="20"/>
        </w:rPr>
        <w:t>the</w:t>
      </w:r>
      <w:r w:rsidRPr="007E6DB4">
        <w:rPr>
          <w:spacing w:val="-13"/>
          <w:sz w:val="20"/>
          <w:szCs w:val="20"/>
        </w:rPr>
        <w:t xml:space="preserve"> </w:t>
      </w:r>
      <w:r w:rsidRPr="007E6DB4">
        <w:rPr>
          <w:sz w:val="20"/>
          <w:szCs w:val="20"/>
        </w:rPr>
        <w:t>standard</w:t>
      </w:r>
      <w:r w:rsidRPr="007E6DB4">
        <w:rPr>
          <w:spacing w:val="-15"/>
          <w:sz w:val="20"/>
          <w:szCs w:val="20"/>
        </w:rPr>
        <w:t xml:space="preserve"> </w:t>
      </w:r>
      <w:r w:rsidRPr="007E6DB4">
        <w:rPr>
          <w:sz w:val="20"/>
          <w:szCs w:val="20"/>
        </w:rPr>
        <w:t>UNDP</w:t>
      </w:r>
      <w:r w:rsidRPr="007E6DB4">
        <w:rPr>
          <w:spacing w:val="-12"/>
          <w:sz w:val="20"/>
          <w:szCs w:val="20"/>
        </w:rPr>
        <w:t xml:space="preserve"> </w:t>
      </w:r>
      <w:r w:rsidRPr="007E6DB4">
        <w:rPr>
          <w:sz w:val="20"/>
          <w:szCs w:val="20"/>
        </w:rPr>
        <w:t>and</w:t>
      </w:r>
      <w:r w:rsidRPr="007E6DB4">
        <w:rPr>
          <w:spacing w:val="-12"/>
          <w:sz w:val="20"/>
          <w:szCs w:val="20"/>
        </w:rPr>
        <w:t xml:space="preserve"> </w:t>
      </w:r>
      <w:r w:rsidRPr="007E6DB4">
        <w:rPr>
          <w:sz w:val="20"/>
          <w:szCs w:val="20"/>
        </w:rPr>
        <w:t>GCF</w:t>
      </w:r>
      <w:r w:rsidRPr="007E6DB4">
        <w:rPr>
          <w:spacing w:val="-13"/>
          <w:sz w:val="20"/>
          <w:szCs w:val="20"/>
        </w:rPr>
        <w:t xml:space="preserve"> </w:t>
      </w:r>
      <w:r w:rsidRPr="007E6DB4">
        <w:rPr>
          <w:sz w:val="20"/>
          <w:szCs w:val="20"/>
        </w:rPr>
        <w:t>M&amp;E</w:t>
      </w:r>
      <w:r w:rsidRPr="007E6DB4">
        <w:rPr>
          <w:spacing w:val="-13"/>
          <w:sz w:val="20"/>
          <w:szCs w:val="20"/>
        </w:rPr>
        <w:t xml:space="preserve"> </w:t>
      </w:r>
      <w:r w:rsidRPr="007E6DB4">
        <w:rPr>
          <w:sz w:val="20"/>
          <w:szCs w:val="20"/>
        </w:rPr>
        <w:t>requirements</w:t>
      </w:r>
      <w:r w:rsidRPr="007E6DB4">
        <w:rPr>
          <w:spacing w:val="-12"/>
          <w:sz w:val="20"/>
          <w:szCs w:val="20"/>
        </w:rPr>
        <w:t xml:space="preserve"> </w:t>
      </w:r>
      <w:r w:rsidRPr="007E6DB4">
        <w:rPr>
          <w:sz w:val="20"/>
          <w:szCs w:val="20"/>
        </w:rPr>
        <w:t>are</w:t>
      </w:r>
      <w:r w:rsidRPr="007E6DB4">
        <w:rPr>
          <w:spacing w:val="-14"/>
          <w:sz w:val="20"/>
          <w:szCs w:val="20"/>
        </w:rPr>
        <w:t xml:space="preserve"> </w:t>
      </w:r>
      <w:r w:rsidRPr="007E6DB4">
        <w:rPr>
          <w:sz w:val="20"/>
          <w:szCs w:val="20"/>
        </w:rPr>
        <w:t>fulfilled</w:t>
      </w:r>
      <w:r w:rsidRPr="007E6DB4">
        <w:rPr>
          <w:spacing w:val="-13"/>
          <w:sz w:val="20"/>
          <w:szCs w:val="20"/>
        </w:rPr>
        <w:t xml:space="preserve"> </w:t>
      </w:r>
      <w:r w:rsidRPr="007E6DB4">
        <w:rPr>
          <w:sz w:val="20"/>
          <w:szCs w:val="20"/>
        </w:rPr>
        <w:t>to</w:t>
      </w:r>
      <w:r w:rsidRPr="007E6DB4">
        <w:rPr>
          <w:spacing w:val="-12"/>
          <w:sz w:val="20"/>
          <w:szCs w:val="20"/>
        </w:rPr>
        <w:t xml:space="preserve"> </w:t>
      </w:r>
      <w:r w:rsidRPr="007E6DB4">
        <w:rPr>
          <w:sz w:val="20"/>
          <w:szCs w:val="20"/>
        </w:rPr>
        <w:t>the</w:t>
      </w:r>
      <w:r w:rsidRPr="007E6DB4">
        <w:rPr>
          <w:spacing w:val="-11"/>
          <w:sz w:val="20"/>
          <w:szCs w:val="20"/>
        </w:rPr>
        <w:t xml:space="preserve"> </w:t>
      </w:r>
      <w:r w:rsidRPr="007E6DB4">
        <w:rPr>
          <w:sz w:val="20"/>
          <w:szCs w:val="20"/>
        </w:rPr>
        <w:t>highest</w:t>
      </w:r>
      <w:r w:rsidRPr="007E6DB4">
        <w:rPr>
          <w:spacing w:val="-12"/>
          <w:sz w:val="20"/>
          <w:szCs w:val="20"/>
        </w:rPr>
        <w:t xml:space="preserve"> </w:t>
      </w:r>
      <w:r w:rsidRPr="007E6DB4">
        <w:rPr>
          <w:sz w:val="20"/>
          <w:szCs w:val="20"/>
        </w:rPr>
        <w:t>quality.</w:t>
      </w:r>
    </w:p>
    <w:p w14:paraId="40698BFF" w14:textId="1DB898E1" w:rsidR="000C0052" w:rsidRPr="008168D9" w:rsidRDefault="000C0052" w:rsidP="000C0052">
      <w:pPr>
        <w:tabs>
          <w:tab w:val="left" w:pos="720"/>
          <w:tab w:val="left" w:pos="7200"/>
        </w:tabs>
        <w:spacing w:before="120" w:after="120" w:line="240" w:lineRule="auto"/>
        <w:jc w:val="both"/>
        <w:rPr>
          <w:sz w:val="20"/>
          <w:szCs w:val="20"/>
        </w:rPr>
      </w:pPr>
      <w:r w:rsidRPr="008168D9">
        <w:rPr>
          <w:rFonts w:ascii="Arial" w:hAnsi="Arial" w:cs="Arial"/>
          <w:sz w:val="20"/>
          <w:szCs w:val="20"/>
        </w:rPr>
        <w:t>At the end of awareness workshops conducted under the project, a post-workshop assessment will be conducted to obtain feedback from participants regarding their learnings Additionally, all stakeholder consultative meetings and workshops will maintain a list of participants with sex-disaggregated data. In addition to the GCF annual progress reports. A project risk register will be prepared that will serve as a record of all risks identified at the project level including likelihood, impact, significance level, risk owner, and risk treatment action. The risk register will be regularly monitored and updated so that emerging issues can be addressed promptly. The Project Board Steering Committee will monitor project’s performance against the indicators and will assess whether the project is meeting its objectives and milestones.</w:t>
      </w:r>
    </w:p>
    <w:p w14:paraId="2C2C8942" w14:textId="77777777" w:rsidR="000C0052" w:rsidRPr="008168D9" w:rsidRDefault="000C0052" w:rsidP="000C0052">
      <w:pPr>
        <w:tabs>
          <w:tab w:val="left" w:pos="720"/>
          <w:tab w:val="left" w:pos="7200"/>
        </w:tabs>
        <w:spacing w:before="120" w:after="120" w:line="240" w:lineRule="auto"/>
        <w:jc w:val="both"/>
        <w:rPr>
          <w:sz w:val="20"/>
          <w:szCs w:val="20"/>
        </w:rPr>
      </w:pPr>
      <w:r w:rsidRPr="008168D9">
        <w:rPr>
          <w:rFonts w:ascii="Arial"/>
          <w:b/>
          <w:sz w:val="20"/>
          <w:szCs w:val="20"/>
        </w:rPr>
        <w:t>Audit</w:t>
      </w:r>
      <w:r w:rsidRPr="008168D9">
        <w:rPr>
          <w:sz w:val="20"/>
          <w:szCs w:val="20"/>
        </w:rPr>
        <w:t>: The project will be audited according to UNDP Financial Regulations and Rules and</w:t>
      </w:r>
      <w:r w:rsidRPr="008168D9">
        <w:rPr>
          <w:spacing w:val="1"/>
          <w:sz w:val="20"/>
          <w:szCs w:val="20"/>
        </w:rPr>
        <w:t xml:space="preserve"> </w:t>
      </w:r>
      <w:r w:rsidRPr="008168D9">
        <w:rPr>
          <w:sz w:val="20"/>
          <w:szCs w:val="20"/>
        </w:rPr>
        <w:t>applicable</w:t>
      </w:r>
      <w:r w:rsidRPr="008168D9">
        <w:rPr>
          <w:spacing w:val="-1"/>
          <w:sz w:val="20"/>
          <w:szCs w:val="20"/>
        </w:rPr>
        <w:t xml:space="preserve"> </w:t>
      </w:r>
      <w:r w:rsidRPr="008168D9">
        <w:rPr>
          <w:sz w:val="20"/>
          <w:szCs w:val="20"/>
        </w:rPr>
        <w:t>audit</w:t>
      </w:r>
      <w:r w:rsidRPr="008168D9">
        <w:rPr>
          <w:spacing w:val="2"/>
          <w:sz w:val="20"/>
          <w:szCs w:val="20"/>
        </w:rPr>
        <w:t xml:space="preserve"> </w:t>
      </w:r>
      <w:r w:rsidRPr="008168D9">
        <w:rPr>
          <w:sz w:val="20"/>
          <w:szCs w:val="20"/>
        </w:rPr>
        <w:t>policies on DIM implemented</w:t>
      </w:r>
      <w:r w:rsidRPr="008168D9">
        <w:rPr>
          <w:spacing w:val="-2"/>
          <w:sz w:val="20"/>
          <w:szCs w:val="20"/>
        </w:rPr>
        <w:t xml:space="preserve"> </w:t>
      </w:r>
      <w:r w:rsidRPr="008168D9">
        <w:rPr>
          <w:sz w:val="20"/>
          <w:szCs w:val="20"/>
        </w:rPr>
        <w:t>projects as well as the Framework Agreement.</w:t>
      </w:r>
    </w:p>
    <w:p w14:paraId="439A77BA" w14:textId="77777777" w:rsidR="000C0052" w:rsidRPr="008168D9" w:rsidRDefault="000C0052" w:rsidP="000C0052">
      <w:pPr>
        <w:tabs>
          <w:tab w:val="left" w:pos="720"/>
          <w:tab w:val="left" w:pos="7200"/>
        </w:tabs>
        <w:spacing w:before="120" w:after="120" w:line="240" w:lineRule="auto"/>
        <w:jc w:val="both"/>
        <w:rPr>
          <w:sz w:val="20"/>
          <w:szCs w:val="20"/>
        </w:rPr>
      </w:pPr>
      <w:r w:rsidRPr="008168D9">
        <w:rPr>
          <w:rFonts w:ascii="Arial"/>
          <w:b/>
          <w:sz w:val="20"/>
          <w:szCs w:val="20"/>
        </w:rPr>
        <w:t>Inception Workshop</w:t>
      </w:r>
      <w:r w:rsidRPr="008168D9">
        <w:rPr>
          <w:sz w:val="20"/>
          <w:szCs w:val="20"/>
        </w:rPr>
        <w:t>: Project inception workshop will be held within three months after the</w:t>
      </w:r>
      <w:r w:rsidRPr="008168D9">
        <w:rPr>
          <w:spacing w:val="1"/>
          <w:sz w:val="20"/>
          <w:szCs w:val="20"/>
        </w:rPr>
        <w:t xml:space="preserve"> </w:t>
      </w:r>
      <w:r w:rsidRPr="008168D9">
        <w:rPr>
          <w:sz w:val="20"/>
          <w:szCs w:val="20"/>
        </w:rPr>
        <w:t>project</w:t>
      </w:r>
      <w:r w:rsidRPr="008168D9">
        <w:rPr>
          <w:spacing w:val="1"/>
          <w:sz w:val="20"/>
          <w:szCs w:val="20"/>
        </w:rPr>
        <w:t xml:space="preserve"> </w:t>
      </w:r>
      <w:r w:rsidRPr="008168D9">
        <w:rPr>
          <w:sz w:val="20"/>
          <w:szCs w:val="20"/>
        </w:rPr>
        <w:t>document</w:t>
      </w:r>
      <w:r w:rsidRPr="008168D9">
        <w:rPr>
          <w:spacing w:val="2"/>
          <w:sz w:val="20"/>
          <w:szCs w:val="20"/>
        </w:rPr>
        <w:t xml:space="preserve"> </w:t>
      </w:r>
      <w:r w:rsidRPr="008168D9">
        <w:rPr>
          <w:sz w:val="20"/>
          <w:szCs w:val="20"/>
        </w:rPr>
        <w:t>has</w:t>
      </w:r>
      <w:r w:rsidRPr="008168D9">
        <w:rPr>
          <w:spacing w:val="1"/>
          <w:sz w:val="20"/>
          <w:szCs w:val="20"/>
        </w:rPr>
        <w:t xml:space="preserve"> </w:t>
      </w:r>
      <w:r w:rsidRPr="008168D9">
        <w:rPr>
          <w:sz w:val="20"/>
          <w:szCs w:val="20"/>
        </w:rPr>
        <w:t>been</w:t>
      </w:r>
      <w:r w:rsidRPr="008168D9">
        <w:rPr>
          <w:spacing w:val="-1"/>
          <w:sz w:val="20"/>
          <w:szCs w:val="20"/>
        </w:rPr>
        <w:t xml:space="preserve"> </w:t>
      </w:r>
      <w:r w:rsidRPr="008168D9">
        <w:rPr>
          <w:sz w:val="20"/>
          <w:szCs w:val="20"/>
        </w:rPr>
        <w:t>signed by</w:t>
      </w:r>
      <w:r w:rsidRPr="008168D9">
        <w:rPr>
          <w:spacing w:val="-2"/>
          <w:sz w:val="20"/>
          <w:szCs w:val="20"/>
        </w:rPr>
        <w:t xml:space="preserve"> </w:t>
      </w:r>
      <w:r w:rsidRPr="008168D9">
        <w:rPr>
          <w:sz w:val="20"/>
          <w:szCs w:val="20"/>
        </w:rPr>
        <w:t>all</w:t>
      </w:r>
      <w:r w:rsidRPr="008168D9">
        <w:rPr>
          <w:spacing w:val="-1"/>
          <w:sz w:val="20"/>
          <w:szCs w:val="20"/>
        </w:rPr>
        <w:t xml:space="preserve"> </w:t>
      </w:r>
      <w:r w:rsidRPr="008168D9">
        <w:rPr>
          <w:sz w:val="20"/>
          <w:szCs w:val="20"/>
        </w:rPr>
        <w:t>relevant</w:t>
      </w:r>
      <w:r w:rsidRPr="008168D9">
        <w:rPr>
          <w:spacing w:val="-3"/>
          <w:sz w:val="20"/>
          <w:szCs w:val="20"/>
        </w:rPr>
        <w:t xml:space="preserve"> </w:t>
      </w:r>
      <w:r w:rsidRPr="008168D9">
        <w:rPr>
          <w:sz w:val="20"/>
          <w:szCs w:val="20"/>
        </w:rPr>
        <w:t>parties with</w:t>
      </w:r>
      <w:r w:rsidRPr="008168D9">
        <w:rPr>
          <w:spacing w:val="-3"/>
          <w:sz w:val="20"/>
          <w:szCs w:val="20"/>
        </w:rPr>
        <w:t xml:space="preserve"> </w:t>
      </w:r>
      <w:r w:rsidRPr="008168D9">
        <w:rPr>
          <w:sz w:val="20"/>
          <w:szCs w:val="20"/>
        </w:rPr>
        <w:t>the</w:t>
      </w:r>
      <w:r w:rsidRPr="008168D9">
        <w:rPr>
          <w:spacing w:val="-2"/>
          <w:sz w:val="20"/>
          <w:szCs w:val="20"/>
        </w:rPr>
        <w:t xml:space="preserve"> </w:t>
      </w:r>
      <w:r w:rsidRPr="008168D9">
        <w:rPr>
          <w:sz w:val="20"/>
          <w:szCs w:val="20"/>
        </w:rPr>
        <w:t>objective</w:t>
      </w:r>
      <w:r w:rsidRPr="008168D9">
        <w:rPr>
          <w:spacing w:val="-2"/>
          <w:sz w:val="20"/>
          <w:szCs w:val="20"/>
        </w:rPr>
        <w:t xml:space="preserve"> </w:t>
      </w:r>
      <w:r w:rsidRPr="008168D9">
        <w:rPr>
          <w:sz w:val="20"/>
          <w:szCs w:val="20"/>
        </w:rPr>
        <w:t>of:</w:t>
      </w:r>
    </w:p>
    <w:p w14:paraId="17EFF0BE" w14:textId="77777777" w:rsidR="000C0052" w:rsidRPr="008168D9" w:rsidRDefault="000C0052" w:rsidP="00163FD5">
      <w:pPr>
        <w:pStyle w:val="ListParagraph"/>
        <w:numPr>
          <w:ilvl w:val="0"/>
          <w:numId w:val="7"/>
        </w:numPr>
        <w:tabs>
          <w:tab w:val="left" w:pos="720"/>
          <w:tab w:val="left" w:pos="7200"/>
        </w:tabs>
        <w:spacing w:before="120" w:after="120" w:line="240" w:lineRule="auto"/>
        <w:jc w:val="both"/>
        <w:rPr>
          <w:sz w:val="20"/>
          <w:szCs w:val="20"/>
        </w:rPr>
      </w:pPr>
      <w:r w:rsidRPr="008168D9">
        <w:rPr>
          <w:sz w:val="20"/>
          <w:szCs w:val="20"/>
        </w:rPr>
        <w:t>Sensitizing</w:t>
      </w:r>
      <w:r w:rsidRPr="008168D9">
        <w:rPr>
          <w:spacing w:val="58"/>
          <w:sz w:val="20"/>
          <w:szCs w:val="20"/>
        </w:rPr>
        <w:t xml:space="preserve"> </w:t>
      </w:r>
      <w:r w:rsidRPr="008168D9">
        <w:rPr>
          <w:sz w:val="20"/>
          <w:szCs w:val="20"/>
        </w:rPr>
        <w:t>stakeholders</w:t>
      </w:r>
      <w:r w:rsidRPr="008168D9">
        <w:rPr>
          <w:spacing w:val="57"/>
          <w:sz w:val="20"/>
          <w:szCs w:val="20"/>
        </w:rPr>
        <w:t xml:space="preserve"> </w:t>
      </w:r>
      <w:r w:rsidRPr="008168D9">
        <w:rPr>
          <w:sz w:val="20"/>
          <w:szCs w:val="20"/>
        </w:rPr>
        <w:t>on</w:t>
      </w:r>
      <w:r w:rsidRPr="008168D9">
        <w:rPr>
          <w:spacing w:val="56"/>
          <w:sz w:val="20"/>
          <w:szCs w:val="20"/>
        </w:rPr>
        <w:t xml:space="preserve"> </w:t>
      </w:r>
      <w:r w:rsidRPr="008168D9">
        <w:rPr>
          <w:sz w:val="20"/>
          <w:szCs w:val="20"/>
        </w:rPr>
        <w:t>the</w:t>
      </w:r>
      <w:r w:rsidRPr="008168D9">
        <w:rPr>
          <w:spacing w:val="59"/>
          <w:sz w:val="20"/>
          <w:szCs w:val="20"/>
        </w:rPr>
        <w:t xml:space="preserve"> </w:t>
      </w:r>
      <w:r w:rsidRPr="008168D9">
        <w:rPr>
          <w:sz w:val="20"/>
          <w:szCs w:val="20"/>
        </w:rPr>
        <w:t>overall</w:t>
      </w:r>
      <w:r w:rsidRPr="008168D9">
        <w:rPr>
          <w:spacing w:val="58"/>
          <w:sz w:val="20"/>
          <w:szCs w:val="20"/>
        </w:rPr>
        <w:t xml:space="preserve"> </w:t>
      </w:r>
      <w:r w:rsidRPr="008168D9">
        <w:rPr>
          <w:sz w:val="20"/>
          <w:szCs w:val="20"/>
        </w:rPr>
        <w:t>readiness</w:t>
      </w:r>
      <w:r w:rsidRPr="008168D9">
        <w:rPr>
          <w:spacing w:val="59"/>
          <w:sz w:val="20"/>
          <w:szCs w:val="20"/>
        </w:rPr>
        <w:t xml:space="preserve"> </w:t>
      </w:r>
      <w:r w:rsidRPr="008168D9">
        <w:rPr>
          <w:sz w:val="20"/>
          <w:szCs w:val="20"/>
        </w:rPr>
        <w:t>approach</w:t>
      </w:r>
      <w:r w:rsidRPr="008168D9">
        <w:rPr>
          <w:spacing w:val="59"/>
          <w:sz w:val="20"/>
          <w:szCs w:val="20"/>
        </w:rPr>
        <w:t xml:space="preserve"> </w:t>
      </w:r>
      <w:r w:rsidRPr="008168D9">
        <w:rPr>
          <w:sz w:val="20"/>
          <w:szCs w:val="20"/>
        </w:rPr>
        <w:t>planned</w:t>
      </w:r>
      <w:r w:rsidRPr="008168D9">
        <w:rPr>
          <w:spacing w:val="57"/>
          <w:sz w:val="20"/>
          <w:szCs w:val="20"/>
        </w:rPr>
        <w:t xml:space="preserve"> </w:t>
      </w:r>
      <w:r w:rsidRPr="008168D9">
        <w:rPr>
          <w:sz w:val="20"/>
          <w:szCs w:val="20"/>
        </w:rPr>
        <w:t>through</w:t>
      </w:r>
      <w:r w:rsidRPr="008168D9">
        <w:rPr>
          <w:spacing w:val="56"/>
          <w:sz w:val="20"/>
          <w:szCs w:val="20"/>
        </w:rPr>
        <w:t xml:space="preserve"> </w:t>
      </w:r>
      <w:r w:rsidRPr="008168D9">
        <w:rPr>
          <w:sz w:val="20"/>
          <w:szCs w:val="20"/>
        </w:rPr>
        <w:t>the</w:t>
      </w:r>
      <w:r w:rsidRPr="008168D9">
        <w:rPr>
          <w:spacing w:val="-58"/>
          <w:sz w:val="20"/>
          <w:szCs w:val="20"/>
        </w:rPr>
        <w:t xml:space="preserve"> </w:t>
      </w:r>
      <w:r w:rsidRPr="008168D9">
        <w:rPr>
          <w:sz w:val="20"/>
          <w:szCs w:val="20"/>
        </w:rPr>
        <w:t>project.</w:t>
      </w:r>
    </w:p>
    <w:p w14:paraId="6AF35827" w14:textId="77777777" w:rsidR="000C0052" w:rsidRPr="008168D9" w:rsidRDefault="000C0052" w:rsidP="00163FD5">
      <w:pPr>
        <w:pStyle w:val="ListParagraph"/>
        <w:numPr>
          <w:ilvl w:val="0"/>
          <w:numId w:val="7"/>
        </w:numPr>
        <w:tabs>
          <w:tab w:val="left" w:pos="720"/>
          <w:tab w:val="left" w:pos="7200"/>
        </w:tabs>
        <w:spacing w:before="120" w:after="120" w:line="240" w:lineRule="auto"/>
        <w:jc w:val="both"/>
        <w:rPr>
          <w:sz w:val="20"/>
          <w:szCs w:val="20"/>
        </w:rPr>
      </w:pPr>
      <w:r w:rsidRPr="008168D9">
        <w:rPr>
          <w:sz w:val="20"/>
          <w:szCs w:val="20"/>
        </w:rPr>
        <w:t>Discussing</w:t>
      </w:r>
      <w:r w:rsidRPr="008168D9">
        <w:rPr>
          <w:spacing w:val="15"/>
          <w:sz w:val="20"/>
          <w:szCs w:val="20"/>
        </w:rPr>
        <w:t xml:space="preserve"> </w:t>
      </w:r>
      <w:r w:rsidRPr="008168D9">
        <w:rPr>
          <w:sz w:val="20"/>
          <w:szCs w:val="20"/>
        </w:rPr>
        <w:t>the</w:t>
      </w:r>
      <w:r w:rsidRPr="008168D9">
        <w:rPr>
          <w:spacing w:val="11"/>
          <w:sz w:val="20"/>
          <w:szCs w:val="20"/>
        </w:rPr>
        <w:t xml:space="preserve"> </w:t>
      </w:r>
      <w:r w:rsidRPr="008168D9">
        <w:rPr>
          <w:sz w:val="20"/>
          <w:szCs w:val="20"/>
        </w:rPr>
        <w:t>roles</w:t>
      </w:r>
      <w:r w:rsidRPr="008168D9">
        <w:rPr>
          <w:spacing w:val="16"/>
          <w:sz w:val="20"/>
          <w:szCs w:val="20"/>
        </w:rPr>
        <w:t xml:space="preserve"> </w:t>
      </w:r>
      <w:r w:rsidRPr="008168D9">
        <w:rPr>
          <w:sz w:val="20"/>
          <w:szCs w:val="20"/>
        </w:rPr>
        <w:t>and</w:t>
      </w:r>
      <w:r w:rsidRPr="008168D9">
        <w:rPr>
          <w:spacing w:val="13"/>
          <w:sz w:val="20"/>
          <w:szCs w:val="20"/>
        </w:rPr>
        <w:t xml:space="preserve"> </w:t>
      </w:r>
      <w:r w:rsidRPr="008168D9">
        <w:rPr>
          <w:sz w:val="20"/>
          <w:szCs w:val="20"/>
        </w:rPr>
        <w:t>responsibilities</w:t>
      </w:r>
      <w:r w:rsidRPr="008168D9">
        <w:rPr>
          <w:spacing w:val="16"/>
          <w:sz w:val="20"/>
          <w:szCs w:val="20"/>
        </w:rPr>
        <w:t xml:space="preserve"> </w:t>
      </w:r>
      <w:r w:rsidRPr="008168D9">
        <w:rPr>
          <w:sz w:val="20"/>
          <w:szCs w:val="20"/>
        </w:rPr>
        <w:t>of</w:t>
      </w:r>
      <w:r w:rsidRPr="008168D9">
        <w:rPr>
          <w:spacing w:val="12"/>
          <w:sz w:val="20"/>
          <w:szCs w:val="20"/>
        </w:rPr>
        <w:t xml:space="preserve"> </w:t>
      </w:r>
      <w:r w:rsidRPr="008168D9">
        <w:rPr>
          <w:sz w:val="20"/>
          <w:szCs w:val="20"/>
        </w:rPr>
        <w:t>the</w:t>
      </w:r>
      <w:r w:rsidRPr="008168D9">
        <w:rPr>
          <w:spacing w:val="13"/>
          <w:sz w:val="20"/>
          <w:szCs w:val="20"/>
        </w:rPr>
        <w:t xml:space="preserve"> </w:t>
      </w:r>
      <w:r w:rsidRPr="008168D9">
        <w:rPr>
          <w:sz w:val="20"/>
          <w:szCs w:val="20"/>
        </w:rPr>
        <w:t>project</w:t>
      </w:r>
      <w:r w:rsidRPr="008168D9">
        <w:rPr>
          <w:spacing w:val="11"/>
          <w:sz w:val="20"/>
          <w:szCs w:val="20"/>
        </w:rPr>
        <w:t xml:space="preserve"> </w:t>
      </w:r>
      <w:r w:rsidRPr="008168D9">
        <w:rPr>
          <w:sz w:val="20"/>
          <w:szCs w:val="20"/>
        </w:rPr>
        <w:t>team,</w:t>
      </w:r>
      <w:r w:rsidRPr="008168D9">
        <w:rPr>
          <w:spacing w:val="15"/>
          <w:sz w:val="20"/>
          <w:szCs w:val="20"/>
        </w:rPr>
        <w:t xml:space="preserve"> </w:t>
      </w:r>
      <w:r w:rsidRPr="008168D9">
        <w:rPr>
          <w:sz w:val="20"/>
          <w:szCs w:val="20"/>
        </w:rPr>
        <w:t>including</w:t>
      </w:r>
      <w:r w:rsidRPr="008168D9">
        <w:rPr>
          <w:spacing w:val="16"/>
          <w:sz w:val="20"/>
          <w:szCs w:val="20"/>
        </w:rPr>
        <w:t xml:space="preserve"> </w:t>
      </w:r>
      <w:r w:rsidRPr="008168D9">
        <w:rPr>
          <w:sz w:val="20"/>
          <w:szCs w:val="20"/>
        </w:rPr>
        <w:t>reporting</w:t>
      </w:r>
      <w:r w:rsidRPr="008168D9">
        <w:rPr>
          <w:spacing w:val="13"/>
          <w:sz w:val="20"/>
          <w:szCs w:val="20"/>
        </w:rPr>
        <w:t xml:space="preserve"> </w:t>
      </w:r>
      <w:r w:rsidRPr="008168D9">
        <w:rPr>
          <w:sz w:val="20"/>
          <w:szCs w:val="20"/>
        </w:rPr>
        <w:t>and</w:t>
      </w:r>
      <w:r w:rsidRPr="008168D9">
        <w:rPr>
          <w:spacing w:val="-58"/>
          <w:sz w:val="20"/>
          <w:szCs w:val="20"/>
        </w:rPr>
        <w:t xml:space="preserve"> </w:t>
      </w:r>
      <w:r w:rsidRPr="008168D9">
        <w:rPr>
          <w:sz w:val="20"/>
          <w:szCs w:val="20"/>
        </w:rPr>
        <w:t>communication</w:t>
      </w:r>
      <w:r w:rsidRPr="008168D9">
        <w:rPr>
          <w:spacing w:val="-1"/>
          <w:sz w:val="20"/>
          <w:szCs w:val="20"/>
        </w:rPr>
        <w:t xml:space="preserve"> </w:t>
      </w:r>
      <w:r w:rsidRPr="008168D9">
        <w:rPr>
          <w:sz w:val="20"/>
          <w:szCs w:val="20"/>
        </w:rPr>
        <w:t>lines</w:t>
      </w:r>
      <w:r w:rsidRPr="008168D9">
        <w:rPr>
          <w:spacing w:val="1"/>
          <w:sz w:val="20"/>
          <w:szCs w:val="20"/>
        </w:rPr>
        <w:t xml:space="preserve"> </w:t>
      </w:r>
      <w:r w:rsidRPr="008168D9">
        <w:rPr>
          <w:sz w:val="20"/>
          <w:szCs w:val="20"/>
        </w:rPr>
        <w:t>and</w:t>
      </w:r>
      <w:r w:rsidRPr="008168D9">
        <w:rPr>
          <w:spacing w:val="-2"/>
          <w:sz w:val="20"/>
          <w:szCs w:val="20"/>
        </w:rPr>
        <w:t xml:space="preserve"> </w:t>
      </w:r>
      <w:r w:rsidRPr="008168D9">
        <w:rPr>
          <w:sz w:val="20"/>
          <w:szCs w:val="20"/>
        </w:rPr>
        <w:t>conflict</w:t>
      </w:r>
      <w:r w:rsidRPr="008168D9">
        <w:rPr>
          <w:spacing w:val="-2"/>
          <w:sz w:val="20"/>
          <w:szCs w:val="20"/>
        </w:rPr>
        <w:t xml:space="preserve"> </w:t>
      </w:r>
      <w:r w:rsidRPr="008168D9">
        <w:rPr>
          <w:sz w:val="20"/>
          <w:szCs w:val="20"/>
        </w:rPr>
        <w:t>resolution mechanisms.</w:t>
      </w:r>
    </w:p>
    <w:p w14:paraId="1489B3AD" w14:textId="77777777" w:rsidR="000C0052" w:rsidRPr="008168D9" w:rsidRDefault="000C0052" w:rsidP="00163FD5">
      <w:pPr>
        <w:pStyle w:val="ListParagraph"/>
        <w:numPr>
          <w:ilvl w:val="0"/>
          <w:numId w:val="7"/>
        </w:numPr>
        <w:tabs>
          <w:tab w:val="left" w:pos="720"/>
          <w:tab w:val="left" w:pos="7200"/>
        </w:tabs>
        <w:spacing w:before="120" w:after="120" w:line="240" w:lineRule="auto"/>
        <w:jc w:val="both"/>
        <w:rPr>
          <w:sz w:val="20"/>
          <w:szCs w:val="20"/>
        </w:rPr>
      </w:pPr>
      <w:r w:rsidRPr="008168D9">
        <w:rPr>
          <w:sz w:val="20"/>
          <w:szCs w:val="20"/>
        </w:rPr>
        <w:t>Reviewing</w:t>
      </w:r>
      <w:r w:rsidRPr="008168D9">
        <w:rPr>
          <w:spacing w:val="25"/>
          <w:sz w:val="20"/>
          <w:szCs w:val="20"/>
        </w:rPr>
        <w:t xml:space="preserve"> </w:t>
      </w:r>
      <w:r w:rsidRPr="008168D9">
        <w:rPr>
          <w:sz w:val="20"/>
          <w:szCs w:val="20"/>
        </w:rPr>
        <w:t>the</w:t>
      </w:r>
      <w:r w:rsidRPr="008168D9">
        <w:rPr>
          <w:spacing w:val="25"/>
          <w:sz w:val="20"/>
          <w:szCs w:val="20"/>
        </w:rPr>
        <w:t xml:space="preserve"> </w:t>
      </w:r>
      <w:r w:rsidRPr="008168D9">
        <w:rPr>
          <w:sz w:val="20"/>
          <w:szCs w:val="20"/>
        </w:rPr>
        <w:t>results</w:t>
      </w:r>
      <w:r w:rsidRPr="008168D9">
        <w:rPr>
          <w:spacing w:val="23"/>
          <w:sz w:val="20"/>
          <w:szCs w:val="20"/>
        </w:rPr>
        <w:t xml:space="preserve"> </w:t>
      </w:r>
      <w:r w:rsidRPr="008168D9">
        <w:rPr>
          <w:sz w:val="20"/>
          <w:szCs w:val="20"/>
        </w:rPr>
        <w:t>framework</w:t>
      </w:r>
      <w:r w:rsidRPr="008168D9">
        <w:rPr>
          <w:spacing w:val="26"/>
          <w:sz w:val="20"/>
          <w:szCs w:val="20"/>
        </w:rPr>
        <w:t xml:space="preserve"> </w:t>
      </w:r>
      <w:r w:rsidRPr="008168D9">
        <w:rPr>
          <w:sz w:val="20"/>
          <w:szCs w:val="20"/>
        </w:rPr>
        <w:t>and</w:t>
      </w:r>
      <w:r w:rsidRPr="008168D9">
        <w:rPr>
          <w:spacing w:val="23"/>
          <w:sz w:val="20"/>
          <w:szCs w:val="20"/>
        </w:rPr>
        <w:t xml:space="preserve"> </w:t>
      </w:r>
      <w:r w:rsidRPr="008168D9">
        <w:rPr>
          <w:sz w:val="20"/>
          <w:szCs w:val="20"/>
        </w:rPr>
        <w:t>finalizing</w:t>
      </w:r>
      <w:r w:rsidRPr="008168D9">
        <w:rPr>
          <w:spacing w:val="25"/>
          <w:sz w:val="20"/>
          <w:szCs w:val="20"/>
        </w:rPr>
        <w:t xml:space="preserve"> </w:t>
      </w:r>
      <w:r w:rsidRPr="008168D9">
        <w:rPr>
          <w:sz w:val="20"/>
          <w:szCs w:val="20"/>
        </w:rPr>
        <w:t>the</w:t>
      </w:r>
      <w:r w:rsidRPr="008168D9">
        <w:rPr>
          <w:spacing w:val="25"/>
          <w:sz w:val="20"/>
          <w:szCs w:val="20"/>
        </w:rPr>
        <w:t xml:space="preserve"> </w:t>
      </w:r>
      <w:r w:rsidRPr="008168D9">
        <w:rPr>
          <w:sz w:val="20"/>
          <w:szCs w:val="20"/>
        </w:rPr>
        <w:t>indicators,</w:t>
      </w:r>
      <w:r w:rsidRPr="008168D9">
        <w:rPr>
          <w:spacing w:val="25"/>
          <w:sz w:val="20"/>
          <w:szCs w:val="20"/>
        </w:rPr>
        <w:t xml:space="preserve"> </w:t>
      </w:r>
      <w:r w:rsidRPr="008168D9">
        <w:rPr>
          <w:sz w:val="20"/>
          <w:szCs w:val="20"/>
        </w:rPr>
        <w:t>means</w:t>
      </w:r>
      <w:r w:rsidRPr="008168D9">
        <w:rPr>
          <w:spacing w:val="23"/>
          <w:sz w:val="20"/>
          <w:szCs w:val="20"/>
        </w:rPr>
        <w:t xml:space="preserve"> </w:t>
      </w:r>
      <w:r w:rsidRPr="008168D9">
        <w:rPr>
          <w:sz w:val="20"/>
          <w:szCs w:val="20"/>
        </w:rPr>
        <w:t>of</w:t>
      </w:r>
      <w:r w:rsidRPr="008168D9">
        <w:rPr>
          <w:spacing w:val="24"/>
          <w:sz w:val="20"/>
          <w:szCs w:val="20"/>
        </w:rPr>
        <w:t xml:space="preserve"> </w:t>
      </w:r>
      <w:r w:rsidRPr="008168D9">
        <w:rPr>
          <w:sz w:val="20"/>
          <w:szCs w:val="20"/>
        </w:rPr>
        <w:t>verification</w:t>
      </w:r>
      <w:r w:rsidRPr="008168D9">
        <w:rPr>
          <w:spacing w:val="-59"/>
          <w:sz w:val="20"/>
          <w:szCs w:val="20"/>
        </w:rPr>
        <w:t xml:space="preserve"> </w:t>
      </w:r>
      <w:r w:rsidRPr="008168D9">
        <w:rPr>
          <w:sz w:val="20"/>
          <w:szCs w:val="20"/>
        </w:rPr>
        <w:t>and</w:t>
      </w:r>
      <w:r w:rsidRPr="008168D9">
        <w:rPr>
          <w:spacing w:val="-1"/>
          <w:sz w:val="20"/>
          <w:szCs w:val="20"/>
        </w:rPr>
        <w:t xml:space="preserve"> </w:t>
      </w:r>
      <w:r w:rsidRPr="008168D9">
        <w:rPr>
          <w:sz w:val="20"/>
          <w:szCs w:val="20"/>
        </w:rPr>
        <w:t>monitoring plan.</w:t>
      </w:r>
    </w:p>
    <w:p w14:paraId="01BEAFB8" w14:textId="77777777" w:rsidR="000C0052" w:rsidRPr="008168D9" w:rsidRDefault="000C0052" w:rsidP="000C0052">
      <w:pPr>
        <w:tabs>
          <w:tab w:val="left" w:pos="720"/>
          <w:tab w:val="left" w:pos="7200"/>
        </w:tabs>
        <w:spacing w:before="120" w:after="120" w:line="240" w:lineRule="auto"/>
        <w:jc w:val="both"/>
        <w:rPr>
          <w:sz w:val="20"/>
          <w:szCs w:val="20"/>
        </w:rPr>
      </w:pPr>
      <w:r w:rsidRPr="008168D9">
        <w:rPr>
          <w:rFonts w:ascii="Arial"/>
          <w:b/>
          <w:sz w:val="20"/>
          <w:szCs w:val="20"/>
        </w:rPr>
        <w:t>Internal quarterly reporting to the NDA and empowered committee</w:t>
      </w:r>
      <w:r w:rsidRPr="008168D9">
        <w:rPr>
          <w:sz w:val="20"/>
          <w:szCs w:val="20"/>
        </w:rPr>
        <w:t>: Internal project level</w:t>
      </w:r>
      <w:r w:rsidRPr="008168D9">
        <w:rPr>
          <w:spacing w:val="-59"/>
          <w:sz w:val="20"/>
          <w:szCs w:val="20"/>
        </w:rPr>
        <w:t xml:space="preserve"> </w:t>
      </w:r>
      <w:r w:rsidRPr="008168D9">
        <w:rPr>
          <w:sz w:val="20"/>
          <w:szCs w:val="20"/>
        </w:rPr>
        <w:t>quarterly</w:t>
      </w:r>
      <w:r w:rsidRPr="008168D9">
        <w:rPr>
          <w:spacing w:val="-6"/>
          <w:sz w:val="20"/>
          <w:szCs w:val="20"/>
        </w:rPr>
        <w:t xml:space="preserve"> </w:t>
      </w:r>
      <w:r w:rsidRPr="008168D9">
        <w:rPr>
          <w:sz w:val="20"/>
          <w:szCs w:val="20"/>
        </w:rPr>
        <w:t>progress</w:t>
      </w:r>
      <w:r w:rsidRPr="008168D9">
        <w:rPr>
          <w:spacing w:val="-10"/>
          <w:sz w:val="20"/>
          <w:szCs w:val="20"/>
        </w:rPr>
        <w:t xml:space="preserve"> </w:t>
      </w:r>
      <w:r w:rsidRPr="008168D9">
        <w:rPr>
          <w:sz w:val="20"/>
          <w:szCs w:val="20"/>
        </w:rPr>
        <w:t>meetings</w:t>
      </w:r>
      <w:r w:rsidRPr="008168D9">
        <w:rPr>
          <w:spacing w:val="-5"/>
          <w:sz w:val="20"/>
          <w:szCs w:val="20"/>
        </w:rPr>
        <w:t xml:space="preserve"> </w:t>
      </w:r>
      <w:r w:rsidRPr="008168D9">
        <w:rPr>
          <w:sz w:val="20"/>
          <w:szCs w:val="20"/>
        </w:rPr>
        <w:t>will</w:t>
      </w:r>
      <w:r w:rsidRPr="008168D9">
        <w:rPr>
          <w:spacing w:val="-7"/>
          <w:sz w:val="20"/>
          <w:szCs w:val="20"/>
        </w:rPr>
        <w:t xml:space="preserve"> </w:t>
      </w:r>
      <w:r w:rsidRPr="008168D9">
        <w:rPr>
          <w:sz w:val="20"/>
          <w:szCs w:val="20"/>
        </w:rPr>
        <w:t>be</w:t>
      </w:r>
      <w:r w:rsidRPr="008168D9">
        <w:rPr>
          <w:spacing w:val="-6"/>
          <w:sz w:val="20"/>
          <w:szCs w:val="20"/>
        </w:rPr>
        <w:t xml:space="preserve"> </w:t>
      </w:r>
      <w:r w:rsidRPr="008168D9">
        <w:rPr>
          <w:sz w:val="20"/>
          <w:szCs w:val="20"/>
        </w:rPr>
        <w:t>held,</w:t>
      </w:r>
      <w:r w:rsidRPr="008168D9">
        <w:rPr>
          <w:spacing w:val="-7"/>
          <w:sz w:val="20"/>
          <w:szCs w:val="20"/>
        </w:rPr>
        <w:t xml:space="preserve"> </w:t>
      </w:r>
      <w:r w:rsidRPr="008168D9">
        <w:rPr>
          <w:sz w:val="20"/>
          <w:szCs w:val="20"/>
        </w:rPr>
        <w:t>and</w:t>
      </w:r>
      <w:r w:rsidRPr="008168D9">
        <w:rPr>
          <w:spacing w:val="-9"/>
          <w:sz w:val="20"/>
          <w:szCs w:val="20"/>
        </w:rPr>
        <w:t xml:space="preserve"> </w:t>
      </w:r>
      <w:r w:rsidRPr="008168D9">
        <w:rPr>
          <w:sz w:val="20"/>
          <w:szCs w:val="20"/>
        </w:rPr>
        <w:t>reports</w:t>
      </w:r>
      <w:r w:rsidRPr="008168D9">
        <w:rPr>
          <w:spacing w:val="-7"/>
          <w:sz w:val="20"/>
          <w:szCs w:val="20"/>
        </w:rPr>
        <w:t xml:space="preserve"> </w:t>
      </w:r>
      <w:r w:rsidRPr="008168D9">
        <w:rPr>
          <w:sz w:val="20"/>
          <w:szCs w:val="20"/>
        </w:rPr>
        <w:t>will</w:t>
      </w:r>
      <w:r w:rsidRPr="008168D9">
        <w:rPr>
          <w:spacing w:val="-6"/>
          <w:sz w:val="20"/>
          <w:szCs w:val="20"/>
        </w:rPr>
        <w:t xml:space="preserve"> </w:t>
      </w:r>
      <w:r w:rsidRPr="008168D9">
        <w:rPr>
          <w:sz w:val="20"/>
          <w:szCs w:val="20"/>
        </w:rPr>
        <w:t>be</w:t>
      </w:r>
      <w:r w:rsidRPr="008168D9">
        <w:rPr>
          <w:spacing w:val="-7"/>
          <w:sz w:val="20"/>
          <w:szCs w:val="20"/>
        </w:rPr>
        <w:t xml:space="preserve"> </w:t>
      </w:r>
      <w:r w:rsidRPr="008168D9">
        <w:rPr>
          <w:sz w:val="20"/>
          <w:szCs w:val="20"/>
        </w:rPr>
        <w:t>provided</w:t>
      </w:r>
      <w:r w:rsidRPr="008168D9">
        <w:rPr>
          <w:spacing w:val="-5"/>
          <w:sz w:val="20"/>
          <w:szCs w:val="20"/>
        </w:rPr>
        <w:t xml:space="preserve"> </w:t>
      </w:r>
      <w:r w:rsidRPr="008168D9">
        <w:rPr>
          <w:sz w:val="20"/>
          <w:szCs w:val="20"/>
        </w:rPr>
        <w:t>by</w:t>
      </w:r>
      <w:r w:rsidRPr="008168D9">
        <w:rPr>
          <w:spacing w:val="-8"/>
          <w:sz w:val="20"/>
          <w:szCs w:val="20"/>
        </w:rPr>
        <w:t xml:space="preserve"> </w:t>
      </w:r>
      <w:r w:rsidRPr="008168D9">
        <w:rPr>
          <w:sz w:val="20"/>
          <w:szCs w:val="20"/>
        </w:rPr>
        <w:t>the</w:t>
      </w:r>
      <w:r w:rsidRPr="008168D9">
        <w:rPr>
          <w:spacing w:val="-7"/>
          <w:sz w:val="20"/>
          <w:szCs w:val="20"/>
        </w:rPr>
        <w:t xml:space="preserve"> </w:t>
      </w:r>
      <w:r w:rsidRPr="008168D9">
        <w:rPr>
          <w:sz w:val="20"/>
          <w:szCs w:val="20"/>
        </w:rPr>
        <w:t>PMU</w:t>
      </w:r>
      <w:r w:rsidRPr="008168D9">
        <w:rPr>
          <w:spacing w:val="-8"/>
          <w:sz w:val="20"/>
          <w:szCs w:val="20"/>
        </w:rPr>
        <w:t xml:space="preserve"> </w:t>
      </w:r>
      <w:r w:rsidRPr="008168D9">
        <w:rPr>
          <w:sz w:val="20"/>
          <w:szCs w:val="20"/>
        </w:rPr>
        <w:t>for</w:t>
      </w:r>
      <w:r w:rsidRPr="008168D9">
        <w:rPr>
          <w:spacing w:val="-7"/>
          <w:sz w:val="20"/>
          <w:szCs w:val="20"/>
        </w:rPr>
        <w:t xml:space="preserve"> </w:t>
      </w:r>
      <w:r w:rsidRPr="008168D9">
        <w:rPr>
          <w:sz w:val="20"/>
          <w:szCs w:val="20"/>
        </w:rPr>
        <w:t>the</w:t>
      </w:r>
      <w:r w:rsidRPr="008168D9">
        <w:rPr>
          <w:spacing w:val="-8"/>
          <w:sz w:val="20"/>
          <w:szCs w:val="20"/>
        </w:rPr>
        <w:t xml:space="preserve"> </w:t>
      </w:r>
      <w:r w:rsidRPr="008168D9">
        <w:rPr>
          <w:sz w:val="20"/>
          <w:szCs w:val="20"/>
        </w:rPr>
        <w:t>NDA</w:t>
      </w:r>
      <w:r w:rsidRPr="008168D9">
        <w:rPr>
          <w:spacing w:val="-59"/>
          <w:sz w:val="20"/>
          <w:szCs w:val="20"/>
        </w:rPr>
        <w:t xml:space="preserve"> </w:t>
      </w:r>
      <w:r w:rsidRPr="008168D9">
        <w:rPr>
          <w:sz w:val="20"/>
          <w:szCs w:val="20"/>
        </w:rPr>
        <w:t>and</w:t>
      </w:r>
      <w:r w:rsidRPr="008168D9">
        <w:rPr>
          <w:spacing w:val="1"/>
          <w:sz w:val="20"/>
          <w:szCs w:val="20"/>
        </w:rPr>
        <w:t xml:space="preserve"> </w:t>
      </w:r>
      <w:r w:rsidRPr="008168D9">
        <w:rPr>
          <w:sz w:val="20"/>
          <w:szCs w:val="20"/>
        </w:rPr>
        <w:t>GCF</w:t>
      </w:r>
      <w:r w:rsidRPr="008168D9">
        <w:rPr>
          <w:spacing w:val="4"/>
          <w:sz w:val="20"/>
          <w:szCs w:val="20"/>
        </w:rPr>
        <w:t xml:space="preserve"> </w:t>
      </w:r>
      <w:r w:rsidRPr="008168D9">
        <w:rPr>
          <w:sz w:val="20"/>
          <w:szCs w:val="20"/>
        </w:rPr>
        <w:t>Empowered</w:t>
      </w:r>
      <w:r w:rsidRPr="008168D9">
        <w:rPr>
          <w:spacing w:val="1"/>
          <w:sz w:val="20"/>
          <w:szCs w:val="20"/>
        </w:rPr>
        <w:t xml:space="preserve"> </w:t>
      </w:r>
      <w:r w:rsidRPr="008168D9">
        <w:rPr>
          <w:sz w:val="20"/>
          <w:szCs w:val="20"/>
        </w:rPr>
        <w:t>Committee.</w:t>
      </w:r>
      <w:r w:rsidRPr="008168D9">
        <w:rPr>
          <w:spacing w:val="6"/>
          <w:sz w:val="20"/>
          <w:szCs w:val="20"/>
        </w:rPr>
        <w:t xml:space="preserve"> </w:t>
      </w:r>
      <w:r w:rsidRPr="008168D9">
        <w:rPr>
          <w:sz w:val="20"/>
          <w:szCs w:val="20"/>
        </w:rPr>
        <w:t>These</w:t>
      </w:r>
      <w:r w:rsidRPr="008168D9">
        <w:rPr>
          <w:spacing w:val="1"/>
          <w:sz w:val="20"/>
          <w:szCs w:val="20"/>
        </w:rPr>
        <w:t xml:space="preserve"> </w:t>
      </w:r>
      <w:r w:rsidRPr="008168D9">
        <w:rPr>
          <w:sz w:val="20"/>
          <w:szCs w:val="20"/>
        </w:rPr>
        <w:t>meetings/reports</w:t>
      </w:r>
      <w:r w:rsidRPr="008168D9">
        <w:rPr>
          <w:spacing w:val="2"/>
          <w:sz w:val="20"/>
          <w:szCs w:val="20"/>
        </w:rPr>
        <w:t xml:space="preserve"> </w:t>
      </w:r>
      <w:r w:rsidRPr="008168D9">
        <w:rPr>
          <w:sz w:val="20"/>
          <w:szCs w:val="20"/>
        </w:rPr>
        <w:t>will</w:t>
      </w:r>
      <w:r w:rsidRPr="008168D9">
        <w:rPr>
          <w:spacing w:val="3"/>
          <w:sz w:val="20"/>
          <w:szCs w:val="20"/>
        </w:rPr>
        <w:t xml:space="preserve"> </w:t>
      </w:r>
      <w:r w:rsidRPr="008168D9">
        <w:rPr>
          <w:sz w:val="20"/>
          <w:szCs w:val="20"/>
        </w:rPr>
        <w:t>highlight</w:t>
      </w:r>
      <w:r w:rsidRPr="008168D9">
        <w:rPr>
          <w:spacing w:val="6"/>
          <w:sz w:val="20"/>
          <w:szCs w:val="20"/>
        </w:rPr>
        <w:t xml:space="preserve"> </w:t>
      </w:r>
      <w:r w:rsidRPr="008168D9">
        <w:rPr>
          <w:sz w:val="20"/>
          <w:szCs w:val="20"/>
        </w:rPr>
        <w:t>lessons</w:t>
      </w:r>
      <w:r w:rsidRPr="008168D9">
        <w:rPr>
          <w:spacing w:val="3"/>
          <w:sz w:val="20"/>
          <w:szCs w:val="20"/>
        </w:rPr>
        <w:t xml:space="preserve"> </w:t>
      </w:r>
      <w:r w:rsidRPr="008168D9">
        <w:rPr>
          <w:sz w:val="20"/>
          <w:szCs w:val="20"/>
        </w:rPr>
        <w:t>learned</w:t>
      </w:r>
      <w:r w:rsidRPr="008168D9">
        <w:rPr>
          <w:spacing w:val="4"/>
          <w:sz w:val="20"/>
          <w:szCs w:val="20"/>
        </w:rPr>
        <w:t xml:space="preserve"> </w:t>
      </w:r>
      <w:r w:rsidRPr="008168D9">
        <w:rPr>
          <w:sz w:val="20"/>
          <w:szCs w:val="20"/>
        </w:rPr>
        <w:t>and implementation challenges and how lessons can be fed back into the project to improve implementation.</w:t>
      </w:r>
    </w:p>
    <w:p w14:paraId="0B67DE58" w14:textId="77777777" w:rsidR="000C0052" w:rsidRPr="008168D9" w:rsidRDefault="000C0052" w:rsidP="000C0052">
      <w:pPr>
        <w:tabs>
          <w:tab w:val="left" w:pos="720"/>
          <w:tab w:val="left" w:pos="7200"/>
        </w:tabs>
        <w:spacing w:before="120" w:after="120" w:line="240" w:lineRule="auto"/>
        <w:jc w:val="both"/>
        <w:rPr>
          <w:sz w:val="20"/>
          <w:szCs w:val="20"/>
        </w:rPr>
      </w:pPr>
      <w:r w:rsidRPr="008168D9">
        <w:rPr>
          <w:b/>
          <w:bCs/>
          <w:sz w:val="20"/>
          <w:szCs w:val="20"/>
        </w:rPr>
        <w:t xml:space="preserve">Annual project report: </w:t>
      </w:r>
      <w:r w:rsidRPr="008168D9">
        <w:rPr>
          <w:sz w:val="20"/>
          <w:szCs w:val="20"/>
        </w:rPr>
        <w:t>UNDP</w:t>
      </w:r>
      <w:r w:rsidRPr="008168D9">
        <w:rPr>
          <w:spacing w:val="1"/>
          <w:sz w:val="20"/>
          <w:szCs w:val="20"/>
        </w:rPr>
        <w:t xml:space="preserve"> </w:t>
      </w:r>
      <w:r w:rsidRPr="008168D9">
        <w:rPr>
          <w:sz w:val="20"/>
          <w:szCs w:val="20"/>
        </w:rPr>
        <w:t>and</w:t>
      </w:r>
      <w:r w:rsidRPr="008168D9">
        <w:rPr>
          <w:spacing w:val="1"/>
          <w:sz w:val="20"/>
          <w:szCs w:val="20"/>
        </w:rPr>
        <w:t xml:space="preserve"> </w:t>
      </w:r>
      <w:r w:rsidRPr="008168D9">
        <w:rPr>
          <w:sz w:val="20"/>
          <w:szCs w:val="20"/>
        </w:rPr>
        <w:t>the NDA will</w:t>
      </w:r>
      <w:r w:rsidRPr="008168D9">
        <w:rPr>
          <w:spacing w:val="1"/>
          <w:sz w:val="20"/>
          <w:szCs w:val="20"/>
        </w:rPr>
        <w:t xml:space="preserve"> </w:t>
      </w:r>
      <w:r w:rsidRPr="008168D9">
        <w:rPr>
          <w:sz w:val="20"/>
          <w:szCs w:val="20"/>
        </w:rPr>
        <w:t>prepare</w:t>
      </w:r>
      <w:r w:rsidRPr="008168D9">
        <w:rPr>
          <w:spacing w:val="1"/>
          <w:sz w:val="20"/>
          <w:szCs w:val="20"/>
        </w:rPr>
        <w:t xml:space="preserve"> </w:t>
      </w:r>
      <w:r w:rsidRPr="008168D9">
        <w:rPr>
          <w:sz w:val="20"/>
          <w:szCs w:val="20"/>
        </w:rPr>
        <w:t>the</w:t>
      </w:r>
      <w:r w:rsidRPr="008168D9">
        <w:rPr>
          <w:spacing w:val="1"/>
          <w:sz w:val="20"/>
          <w:szCs w:val="20"/>
        </w:rPr>
        <w:t xml:space="preserve"> </w:t>
      </w:r>
      <w:r w:rsidRPr="008168D9">
        <w:rPr>
          <w:sz w:val="20"/>
          <w:szCs w:val="20"/>
        </w:rPr>
        <w:t>annual</w:t>
      </w:r>
      <w:r w:rsidRPr="008168D9">
        <w:rPr>
          <w:spacing w:val="1"/>
          <w:sz w:val="20"/>
          <w:szCs w:val="20"/>
        </w:rPr>
        <w:t xml:space="preserve"> </w:t>
      </w:r>
      <w:r w:rsidRPr="008168D9">
        <w:rPr>
          <w:sz w:val="20"/>
          <w:szCs w:val="20"/>
        </w:rPr>
        <w:t>project</w:t>
      </w:r>
      <w:r w:rsidRPr="008168D9">
        <w:rPr>
          <w:spacing w:val="1"/>
          <w:sz w:val="20"/>
          <w:szCs w:val="20"/>
        </w:rPr>
        <w:t xml:space="preserve"> </w:t>
      </w:r>
      <w:r w:rsidRPr="008168D9">
        <w:rPr>
          <w:sz w:val="20"/>
          <w:szCs w:val="20"/>
        </w:rPr>
        <w:t>report</w:t>
      </w:r>
      <w:r w:rsidRPr="008168D9">
        <w:rPr>
          <w:spacing w:val="1"/>
          <w:sz w:val="20"/>
          <w:szCs w:val="20"/>
        </w:rPr>
        <w:t xml:space="preserve"> </w:t>
      </w:r>
      <w:r w:rsidRPr="008168D9">
        <w:rPr>
          <w:sz w:val="20"/>
          <w:szCs w:val="20"/>
        </w:rPr>
        <w:t>for</w:t>
      </w:r>
      <w:r w:rsidRPr="008168D9">
        <w:rPr>
          <w:spacing w:val="1"/>
          <w:sz w:val="20"/>
          <w:szCs w:val="20"/>
        </w:rPr>
        <w:t xml:space="preserve"> </w:t>
      </w:r>
      <w:r w:rsidRPr="008168D9">
        <w:rPr>
          <w:sz w:val="20"/>
          <w:szCs w:val="20"/>
        </w:rPr>
        <w:t>submission</w:t>
      </w:r>
      <w:r w:rsidRPr="008168D9">
        <w:rPr>
          <w:spacing w:val="-4"/>
          <w:sz w:val="20"/>
          <w:szCs w:val="20"/>
        </w:rPr>
        <w:t xml:space="preserve"> </w:t>
      </w:r>
      <w:r w:rsidRPr="008168D9">
        <w:rPr>
          <w:sz w:val="20"/>
          <w:szCs w:val="20"/>
        </w:rPr>
        <w:t>to</w:t>
      </w:r>
      <w:r w:rsidRPr="008168D9">
        <w:rPr>
          <w:spacing w:val="-3"/>
          <w:sz w:val="20"/>
          <w:szCs w:val="20"/>
        </w:rPr>
        <w:t xml:space="preserve"> </w:t>
      </w:r>
      <w:r w:rsidRPr="008168D9">
        <w:rPr>
          <w:sz w:val="20"/>
          <w:szCs w:val="20"/>
        </w:rPr>
        <w:t>the</w:t>
      </w:r>
      <w:r w:rsidRPr="008168D9">
        <w:rPr>
          <w:spacing w:val="-6"/>
          <w:sz w:val="20"/>
          <w:szCs w:val="20"/>
        </w:rPr>
        <w:t xml:space="preserve"> </w:t>
      </w:r>
      <w:r w:rsidRPr="008168D9">
        <w:rPr>
          <w:sz w:val="20"/>
          <w:szCs w:val="20"/>
        </w:rPr>
        <w:t>GCF. The</w:t>
      </w:r>
      <w:r w:rsidRPr="008168D9">
        <w:rPr>
          <w:spacing w:val="-1"/>
          <w:sz w:val="20"/>
          <w:szCs w:val="20"/>
        </w:rPr>
        <w:t xml:space="preserve"> </w:t>
      </w:r>
      <w:r w:rsidRPr="008168D9">
        <w:rPr>
          <w:sz w:val="20"/>
          <w:szCs w:val="20"/>
        </w:rPr>
        <w:t>PMU</w:t>
      </w:r>
      <w:r w:rsidRPr="008168D9">
        <w:rPr>
          <w:spacing w:val="-4"/>
          <w:sz w:val="20"/>
          <w:szCs w:val="20"/>
        </w:rPr>
        <w:t xml:space="preserve"> </w:t>
      </w:r>
      <w:r w:rsidRPr="008168D9">
        <w:rPr>
          <w:sz w:val="20"/>
          <w:szCs w:val="20"/>
        </w:rPr>
        <w:t>will</w:t>
      </w:r>
      <w:r w:rsidRPr="008168D9">
        <w:rPr>
          <w:spacing w:val="-2"/>
          <w:sz w:val="20"/>
          <w:szCs w:val="20"/>
        </w:rPr>
        <w:t xml:space="preserve"> </w:t>
      </w:r>
      <w:r w:rsidRPr="008168D9">
        <w:rPr>
          <w:sz w:val="20"/>
          <w:szCs w:val="20"/>
        </w:rPr>
        <w:t>ensure</w:t>
      </w:r>
      <w:r w:rsidRPr="008168D9">
        <w:rPr>
          <w:spacing w:val="-3"/>
          <w:sz w:val="20"/>
          <w:szCs w:val="20"/>
        </w:rPr>
        <w:t xml:space="preserve"> </w:t>
      </w:r>
      <w:r w:rsidRPr="008168D9">
        <w:rPr>
          <w:sz w:val="20"/>
          <w:szCs w:val="20"/>
        </w:rPr>
        <w:t>that</w:t>
      </w:r>
      <w:r w:rsidRPr="008168D9">
        <w:rPr>
          <w:spacing w:val="-2"/>
          <w:sz w:val="20"/>
          <w:szCs w:val="20"/>
        </w:rPr>
        <w:t xml:space="preserve"> </w:t>
      </w:r>
      <w:r w:rsidRPr="008168D9">
        <w:rPr>
          <w:sz w:val="20"/>
          <w:szCs w:val="20"/>
        </w:rPr>
        <w:t>the</w:t>
      </w:r>
      <w:r w:rsidRPr="008168D9">
        <w:rPr>
          <w:spacing w:val="-1"/>
          <w:sz w:val="20"/>
          <w:szCs w:val="20"/>
        </w:rPr>
        <w:t xml:space="preserve"> </w:t>
      </w:r>
      <w:r w:rsidRPr="008168D9">
        <w:rPr>
          <w:sz w:val="20"/>
          <w:szCs w:val="20"/>
        </w:rPr>
        <w:t>indicators</w:t>
      </w:r>
      <w:r w:rsidRPr="008168D9">
        <w:rPr>
          <w:spacing w:val="-3"/>
          <w:sz w:val="20"/>
          <w:szCs w:val="20"/>
        </w:rPr>
        <w:t xml:space="preserve"> </w:t>
      </w:r>
      <w:r w:rsidRPr="008168D9">
        <w:rPr>
          <w:sz w:val="20"/>
          <w:szCs w:val="20"/>
        </w:rPr>
        <w:t>included</w:t>
      </w:r>
      <w:r w:rsidRPr="008168D9">
        <w:rPr>
          <w:spacing w:val="-4"/>
          <w:sz w:val="20"/>
          <w:szCs w:val="20"/>
        </w:rPr>
        <w:t xml:space="preserve"> </w:t>
      </w:r>
      <w:r w:rsidRPr="008168D9">
        <w:rPr>
          <w:sz w:val="20"/>
          <w:szCs w:val="20"/>
        </w:rPr>
        <w:t>in</w:t>
      </w:r>
      <w:r w:rsidRPr="008168D9">
        <w:rPr>
          <w:spacing w:val="-3"/>
          <w:sz w:val="20"/>
          <w:szCs w:val="20"/>
        </w:rPr>
        <w:t xml:space="preserve"> </w:t>
      </w:r>
      <w:r w:rsidRPr="008168D9">
        <w:rPr>
          <w:sz w:val="20"/>
          <w:szCs w:val="20"/>
        </w:rPr>
        <w:t>the</w:t>
      </w:r>
      <w:r w:rsidRPr="008168D9">
        <w:rPr>
          <w:spacing w:val="-1"/>
          <w:sz w:val="20"/>
          <w:szCs w:val="20"/>
        </w:rPr>
        <w:t xml:space="preserve"> </w:t>
      </w:r>
      <w:r w:rsidRPr="008168D9">
        <w:rPr>
          <w:sz w:val="20"/>
          <w:szCs w:val="20"/>
        </w:rPr>
        <w:t>project</w:t>
      </w:r>
      <w:r w:rsidRPr="008168D9">
        <w:rPr>
          <w:spacing w:val="-2"/>
          <w:sz w:val="20"/>
          <w:szCs w:val="20"/>
        </w:rPr>
        <w:t xml:space="preserve"> </w:t>
      </w:r>
      <w:r w:rsidRPr="008168D9">
        <w:rPr>
          <w:sz w:val="20"/>
          <w:szCs w:val="20"/>
        </w:rPr>
        <w:t>results</w:t>
      </w:r>
      <w:r w:rsidRPr="008168D9">
        <w:rPr>
          <w:spacing w:val="-59"/>
          <w:sz w:val="20"/>
          <w:szCs w:val="20"/>
        </w:rPr>
        <w:t xml:space="preserve"> </w:t>
      </w:r>
      <w:r w:rsidRPr="008168D9">
        <w:rPr>
          <w:spacing w:val="-1"/>
          <w:sz w:val="20"/>
          <w:szCs w:val="20"/>
        </w:rPr>
        <w:t>framework</w:t>
      </w:r>
      <w:r w:rsidRPr="008168D9">
        <w:rPr>
          <w:spacing w:val="-16"/>
          <w:sz w:val="20"/>
          <w:szCs w:val="20"/>
        </w:rPr>
        <w:t xml:space="preserve"> </w:t>
      </w:r>
      <w:r w:rsidRPr="008168D9">
        <w:rPr>
          <w:spacing w:val="-1"/>
          <w:sz w:val="20"/>
          <w:szCs w:val="20"/>
        </w:rPr>
        <w:t>are</w:t>
      </w:r>
      <w:r w:rsidRPr="008168D9">
        <w:rPr>
          <w:spacing w:val="-18"/>
          <w:sz w:val="20"/>
          <w:szCs w:val="20"/>
        </w:rPr>
        <w:t xml:space="preserve"> </w:t>
      </w:r>
      <w:r w:rsidRPr="008168D9">
        <w:rPr>
          <w:spacing w:val="-1"/>
          <w:sz w:val="20"/>
          <w:szCs w:val="20"/>
        </w:rPr>
        <w:t>monitored</w:t>
      </w:r>
      <w:r w:rsidRPr="008168D9">
        <w:rPr>
          <w:spacing w:val="-16"/>
          <w:sz w:val="20"/>
          <w:szCs w:val="20"/>
        </w:rPr>
        <w:t xml:space="preserve"> </w:t>
      </w:r>
      <w:r w:rsidRPr="008168D9">
        <w:rPr>
          <w:sz w:val="20"/>
          <w:szCs w:val="20"/>
        </w:rPr>
        <w:t>bi-annually</w:t>
      </w:r>
      <w:r w:rsidRPr="008168D9">
        <w:rPr>
          <w:spacing w:val="-14"/>
          <w:sz w:val="20"/>
          <w:szCs w:val="20"/>
        </w:rPr>
        <w:t xml:space="preserve"> </w:t>
      </w:r>
      <w:r w:rsidRPr="008168D9">
        <w:rPr>
          <w:sz w:val="20"/>
          <w:szCs w:val="20"/>
        </w:rPr>
        <w:t>in</w:t>
      </w:r>
      <w:r w:rsidRPr="008168D9">
        <w:rPr>
          <w:spacing w:val="-14"/>
          <w:sz w:val="20"/>
          <w:szCs w:val="20"/>
        </w:rPr>
        <w:t xml:space="preserve"> </w:t>
      </w:r>
      <w:r w:rsidRPr="008168D9">
        <w:rPr>
          <w:sz w:val="20"/>
          <w:szCs w:val="20"/>
        </w:rPr>
        <w:t>advance</w:t>
      </w:r>
      <w:r w:rsidRPr="008168D9">
        <w:rPr>
          <w:spacing w:val="-14"/>
          <w:sz w:val="20"/>
          <w:szCs w:val="20"/>
        </w:rPr>
        <w:t xml:space="preserve"> </w:t>
      </w:r>
      <w:r w:rsidRPr="008168D9">
        <w:rPr>
          <w:sz w:val="20"/>
          <w:szCs w:val="20"/>
        </w:rPr>
        <w:t>so</w:t>
      </w:r>
      <w:r w:rsidRPr="008168D9">
        <w:rPr>
          <w:spacing w:val="-14"/>
          <w:sz w:val="20"/>
          <w:szCs w:val="20"/>
        </w:rPr>
        <w:t xml:space="preserve"> </w:t>
      </w:r>
      <w:r w:rsidRPr="008168D9">
        <w:rPr>
          <w:sz w:val="20"/>
          <w:szCs w:val="20"/>
        </w:rPr>
        <w:t>that</w:t>
      </w:r>
      <w:r w:rsidRPr="008168D9">
        <w:rPr>
          <w:spacing w:val="-12"/>
          <w:sz w:val="20"/>
          <w:szCs w:val="20"/>
        </w:rPr>
        <w:t xml:space="preserve"> </w:t>
      </w:r>
      <w:r w:rsidRPr="008168D9">
        <w:rPr>
          <w:sz w:val="20"/>
          <w:szCs w:val="20"/>
        </w:rPr>
        <w:t>progress</w:t>
      </w:r>
      <w:r w:rsidRPr="008168D9">
        <w:rPr>
          <w:spacing w:val="-16"/>
          <w:sz w:val="20"/>
          <w:szCs w:val="20"/>
        </w:rPr>
        <w:t xml:space="preserve"> </w:t>
      </w:r>
      <w:r w:rsidRPr="008168D9">
        <w:rPr>
          <w:sz w:val="20"/>
          <w:szCs w:val="20"/>
        </w:rPr>
        <w:t>can</w:t>
      </w:r>
      <w:r w:rsidRPr="008168D9">
        <w:rPr>
          <w:spacing w:val="-14"/>
          <w:sz w:val="20"/>
          <w:szCs w:val="20"/>
        </w:rPr>
        <w:t xml:space="preserve"> </w:t>
      </w:r>
      <w:r w:rsidRPr="008168D9">
        <w:rPr>
          <w:sz w:val="20"/>
          <w:szCs w:val="20"/>
        </w:rPr>
        <w:t>be</w:t>
      </w:r>
      <w:r w:rsidRPr="008168D9">
        <w:rPr>
          <w:spacing w:val="-17"/>
          <w:sz w:val="20"/>
          <w:szCs w:val="20"/>
        </w:rPr>
        <w:t xml:space="preserve"> </w:t>
      </w:r>
      <w:r w:rsidRPr="008168D9">
        <w:rPr>
          <w:sz w:val="20"/>
          <w:szCs w:val="20"/>
        </w:rPr>
        <w:t>included</w:t>
      </w:r>
      <w:r w:rsidRPr="008168D9">
        <w:rPr>
          <w:spacing w:val="-14"/>
          <w:sz w:val="20"/>
          <w:szCs w:val="20"/>
        </w:rPr>
        <w:t xml:space="preserve"> </w:t>
      </w:r>
      <w:r w:rsidRPr="008168D9">
        <w:rPr>
          <w:sz w:val="20"/>
          <w:szCs w:val="20"/>
        </w:rPr>
        <w:t>in</w:t>
      </w:r>
      <w:r w:rsidRPr="008168D9">
        <w:rPr>
          <w:spacing w:val="-14"/>
          <w:sz w:val="20"/>
          <w:szCs w:val="20"/>
        </w:rPr>
        <w:t xml:space="preserve"> </w:t>
      </w:r>
      <w:r w:rsidRPr="008168D9">
        <w:rPr>
          <w:sz w:val="20"/>
          <w:szCs w:val="20"/>
        </w:rPr>
        <w:t>the</w:t>
      </w:r>
      <w:r w:rsidRPr="008168D9">
        <w:rPr>
          <w:spacing w:val="-19"/>
          <w:sz w:val="20"/>
          <w:szCs w:val="20"/>
        </w:rPr>
        <w:t xml:space="preserve"> </w:t>
      </w:r>
      <w:r w:rsidRPr="008168D9">
        <w:rPr>
          <w:sz w:val="20"/>
          <w:szCs w:val="20"/>
        </w:rPr>
        <w:t>report.</w:t>
      </w:r>
    </w:p>
    <w:p w14:paraId="2AC987CD" w14:textId="77777777" w:rsidR="000C0052" w:rsidRPr="000C0052" w:rsidRDefault="000C0052" w:rsidP="000C0052">
      <w:pPr>
        <w:tabs>
          <w:tab w:val="left" w:pos="720"/>
          <w:tab w:val="left" w:pos="7200"/>
        </w:tabs>
        <w:spacing w:before="120" w:after="120" w:line="240" w:lineRule="auto"/>
        <w:jc w:val="both"/>
        <w:rPr>
          <w:sz w:val="20"/>
          <w:szCs w:val="20"/>
        </w:rPr>
      </w:pPr>
      <w:r w:rsidRPr="008168D9">
        <w:rPr>
          <w:rFonts w:ascii="Arial"/>
          <w:b/>
          <w:sz w:val="20"/>
          <w:szCs w:val="20"/>
        </w:rPr>
        <w:lastRenderedPageBreak/>
        <w:t>Project completion report</w:t>
      </w:r>
      <w:r w:rsidRPr="008168D9">
        <w:rPr>
          <w:sz w:val="20"/>
          <w:szCs w:val="20"/>
        </w:rPr>
        <w:t>: At the end of the project implementation period, UNDP will</w:t>
      </w:r>
      <w:r w:rsidRPr="008168D9">
        <w:rPr>
          <w:spacing w:val="1"/>
          <w:sz w:val="20"/>
          <w:szCs w:val="20"/>
        </w:rPr>
        <w:t xml:space="preserve"> </w:t>
      </w:r>
      <w:r w:rsidRPr="008168D9">
        <w:rPr>
          <w:sz w:val="20"/>
          <w:szCs w:val="20"/>
        </w:rPr>
        <w:t>prepare a completion report and a financial report both of which will be submitted to the GCF</w:t>
      </w:r>
      <w:r w:rsidRPr="008168D9">
        <w:rPr>
          <w:spacing w:val="-59"/>
          <w:sz w:val="20"/>
          <w:szCs w:val="20"/>
        </w:rPr>
        <w:t xml:space="preserve"> </w:t>
      </w:r>
      <w:r w:rsidRPr="008168D9">
        <w:rPr>
          <w:sz w:val="20"/>
          <w:szCs w:val="20"/>
        </w:rPr>
        <w:t>within</w:t>
      </w:r>
      <w:r w:rsidRPr="008168D9">
        <w:rPr>
          <w:spacing w:val="-1"/>
          <w:sz w:val="20"/>
          <w:szCs w:val="20"/>
        </w:rPr>
        <w:t xml:space="preserve"> </w:t>
      </w:r>
      <w:r w:rsidRPr="008168D9">
        <w:rPr>
          <w:sz w:val="20"/>
          <w:szCs w:val="20"/>
        </w:rPr>
        <w:t>the given</w:t>
      </w:r>
      <w:r w:rsidRPr="008168D9">
        <w:rPr>
          <w:spacing w:val="-2"/>
          <w:sz w:val="20"/>
          <w:szCs w:val="20"/>
        </w:rPr>
        <w:t xml:space="preserve"> </w:t>
      </w:r>
      <w:r w:rsidRPr="008168D9">
        <w:rPr>
          <w:sz w:val="20"/>
          <w:szCs w:val="20"/>
        </w:rPr>
        <w:t>timelines.</w:t>
      </w:r>
    </w:p>
    <w:p w14:paraId="6D3632AE" w14:textId="77777777" w:rsidR="00B403B7" w:rsidRPr="00047485" w:rsidRDefault="00B403B7" w:rsidP="00250B00">
      <w:pPr>
        <w:suppressAutoHyphens/>
        <w:autoSpaceDN w:val="0"/>
        <w:spacing w:after="0" w:line="240" w:lineRule="auto"/>
        <w:jc w:val="both"/>
        <w:textAlignment w:val="baseline"/>
        <w:rPr>
          <w:rFonts w:cstheme="minorHAnsi"/>
          <w:color w:val="000000"/>
        </w:rPr>
      </w:pPr>
    </w:p>
    <w:p w14:paraId="07739478" w14:textId="57E3C05D" w:rsidR="00F97840" w:rsidRDefault="00F97840" w:rsidP="004E2B59">
      <w:pPr>
        <w:pStyle w:val="ListParagraph"/>
        <w:numPr>
          <w:ilvl w:val="1"/>
          <w:numId w:val="32"/>
        </w:numPr>
        <w:tabs>
          <w:tab w:val="left" w:pos="720"/>
          <w:tab w:val="left" w:pos="7200"/>
        </w:tabs>
        <w:rPr>
          <w:b/>
          <w:bCs/>
          <w:color w:val="3494BA" w:themeColor="accent1"/>
        </w:rPr>
      </w:pPr>
      <w:r w:rsidRPr="009B0B51">
        <w:rPr>
          <w:b/>
          <w:color w:val="276E8B" w:themeColor="accent1" w:themeShade="BF"/>
        </w:rPr>
        <w:t>Other relevant information</w:t>
      </w:r>
    </w:p>
    <w:p w14:paraId="77035EDE" w14:textId="77777777" w:rsidR="00EA225D" w:rsidRPr="00CD48C9" w:rsidRDefault="00EA225D" w:rsidP="00EA225D">
      <w:pPr>
        <w:jc w:val="both"/>
        <w:rPr>
          <w:b/>
          <w:color w:val="276E8B" w:themeColor="accent1" w:themeShade="BF"/>
        </w:rPr>
      </w:pPr>
      <w:r w:rsidRPr="00CD48C9">
        <w:rPr>
          <w:b/>
          <w:color w:val="276E8B" w:themeColor="accent1" w:themeShade="BF"/>
        </w:rPr>
        <w:t>Selection of Delivery Partner:</w:t>
      </w:r>
    </w:p>
    <w:p w14:paraId="02386AF1" w14:textId="1663DBBF" w:rsidR="005452AE" w:rsidRPr="00CF1E54" w:rsidRDefault="005452AE" w:rsidP="005452AE">
      <w:pPr>
        <w:spacing w:after="0" w:line="240" w:lineRule="auto"/>
        <w:jc w:val="both"/>
        <w:rPr>
          <w:color w:val="000000" w:themeColor="text1"/>
          <w:sz w:val="20"/>
          <w:szCs w:val="20"/>
        </w:rPr>
      </w:pPr>
      <w:r w:rsidRPr="00A84B1E">
        <w:rPr>
          <w:color w:val="000000" w:themeColor="text1"/>
          <w:sz w:val="20"/>
          <w:szCs w:val="20"/>
        </w:rPr>
        <w:t xml:space="preserve">Defined by </w:t>
      </w:r>
      <w:r w:rsidR="003C30CC" w:rsidRPr="003C30CC">
        <w:rPr>
          <w:color w:val="000000" w:themeColor="text1"/>
          <w:sz w:val="20"/>
          <w:szCs w:val="20"/>
        </w:rPr>
        <w:t xml:space="preserve">Standard Basic Assistance Agreement </w:t>
      </w:r>
      <w:r w:rsidRPr="00A84B1E">
        <w:rPr>
          <w:color w:val="000000" w:themeColor="text1"/>
          <w:sz w:val="20"/>
          <w:szCs w:val="20"/>
        </w:rPr>
        <w:t>between Government of the Kyrgyz Republic</w:t>
      </w:r>
      <w:r w:rsidR="003C30CC">
        <w:rPr>
          <w:color w:val="000000" w:themeColor="text1"/>
          <w:sz w:val="20"/>
          <w:szCs w:val="20"/>
        </w:rPr>
        <w:t xml:space="preserve"> </w:t>
      </w:r>
      <w:r w:rsidR="00CF1E54">
        <w:rPr>
          <w:color w:val="000000" w:themeColor="text1"/>
          <w:sz w:val="20"/>
          <w:szCs w:val="20"/>
        </w:rPr>
        <w:t>a</w:t>
      </w:r>
      <w:r w:rsidR="003C30CC">
        <w:rPr>
          <w:color w:val="000000" w:themeColor="text1"/>
          <w:sz w:val="20"/>
          <w:szCs w:val="20"/>
        </w:rPr>
        <w:t xml:space="preserve">nd UNDP, signed in </w:t>
      </w:r>
      <w:r w:rsidR="00CF1E54">
        <w:rPr>
          <w:color w:val="000000" w:themeColor="text1"/>
          <w:sz w:val="20"/>
          <w:szCs w:val="20"/>
        </w:rPr>
        <w:t>1992</w:t>
      </w:r>
      <w:r w:rsidRPr="003C30CC">
        <w:rPr>
          <w:color w:val="000000" w:themeColor="text1"/>
          <w:sz w:val="20"/>
          <w:szCs w:val="20"/>
        </w:rPr>
        <w:t xml:space="preserve">, </w:t>
      </w:r>
      <w:r w:rsidRPr="00F1328B">
        <w:rPr>
          <w:color w:val="000000" w:themeColor="text1"/>
          <w:sz w:val="20"/>
          <w:szCs w:val="20"/>
        </w:rPr>
        <w:t>UNDP has been collaborating with national actors and partner institutions for the country’s human and sustainable develop</w:t>
      </w:r>
      <w:r w:rsidRPr="007352DF">
        <w:rPr>
          <w:color w:val="000000" w:themeColor="text1"/>
          <w:sz w:val="20"/>
          <w:szCs w:val="20"/>
        </w:rPr>
        <w:t>ment. Currently, UNDP</w:t>
      </w:r>
      <w:r w:rsidRPr="007352DF" w:rsidDel="00986B86">
        <w:rPr>
          <w:color w:val="000000" w:themeColor="text1"/>
          <w:sz w:val="20"/>
          <w:szCs w:val="20"/>
        </w:rPr>
        <w:t xml:space="preserve"> </w:t>
      </w:r>
      <w:r w:rsidRPr="007352DF">
        <w:rPr>
          <w:color w:val="000000" w:themeColor="text1"/>
          <w:sz w:val="20"/>
          <w:szCs w:val="20"/>
        </w:rPr>
        <w:t xml:space="preserve">in the Kyrgyz Republic is engaged in supporting such specific </w:t>
      </w:r>
      <w:r w:rsidR="00E35122" w:rsidRPr="007352DF">
        <w:rPr>
          <w:color w:val="000000" w:themeColor="text1"/>
          <w:sz w:val="20"/>
          <w:szCs w:val="20"/>
        </w:rPr>
        <w:t>areas</w:t>
      </w:r>
      <w:r w:rsidRPr="007352DF">
        <w:rPr>
          <w:color w:val="000000" w:themeColor="text1"/>
          <w:sz w:val="20"/>
          <w:szCs w:val="20"/>
        </w:rPr>
        <w:t xml:space="preserve"> as climate change mitigation, adaptation, and climate finance. In the context of climate change and natural resource management, UNDP has been cooperating extensively with the government of the Kyrgyz Republic including such projects </w:t>
      </w:r>
      <w:r w:rsidR="00CF1E54">
        <w:rPr>
          <w:color w:val="000000" w:themeColor="text1"/>
          <w:sz w:val="20"/>
          <w:szCs w:val="20"/>
        </w:rPr>
        <w:t xml:space="preserve">as </w:t>
      </w:r>
      <w:r w:rsidR="00CF1E54" w:rsidRPr="00CF1E54">
        <w:rPr>
          <w:color w:val="000000" w:themeColor="text1"/>
          <w:sz w:val="20"/>
          <w:szCs w:val="20"/>
        </w:rPr>
        <w:t>Advancing development of a National Adaptation Plan (NAP) process for medium and long-term adaptation planning and implementation in the Kyrgyz Republic</w:t>
      </w:r>
      <w:r w:rsidR="00CF1E54">
        <w:rPr>
          <w:color w:val="000000" w:themeColor="text1"/>
          <w:sz w:val="20"/>
          <w:szCs w:val="20"/>
        </w:rPr>
        <w:t>,</w:t>
      </w:r>
      <w:r w:rsidR="00CF1E54" w:rsidRPr="00A16BB1">
        <w:rPr>
          <w:color w:val="000000" w:themeColor="text1"/>
          <w:sz w:val="20"/>
          <w:szCs w:val="20"/>
        </w:rPr>
        <w:t xml:space="preserve"> Climate Promise, </w:t>
      </w:r>
      <w:r w:rsidRPr="00CF1E54">
        <w:rPr>
          <w:color w:val="000000" w:themeColor="text1"/>
          <w:sz w:val="20"/>
          <w:szCs w:val="20"/>
        </w:rPr>
        <w:t xml:space="preserve">Partnership for Action on Green Economy, </w:t>
      </w:r>
      <w:r w:rsidR="00CF1E54" w:rsidRPr="00CF1E54">
        <w:rPr>
          <w:color w:val="000000" w:themeColor="text1"/>
          <w:sz w:val="20"/>
          <w:szCs w:val="20"/>
        </w:rPr>
        <w:t>Integrated National Financing Framework,</w:t>
      </w:r>
      <w:r w:rsidR="00CF1E54" w:rsidRPr="00A16BB1">
        <w:rPr>
          <w:color w:val="000000" w:themeColor="text1"/>
          <w:sz w:val="20"/>
          <w:szCs w:val="20"/>
        </w:rPr>
        <w:t xml:space="preserve"> </w:t>
      </w:r>
      <w:r w:rsidR="00CF1E54" w:rsidRPr="00CF1E54">
        <w:rPr>
          <w:color w:val="000000" w:themeColor="text1"/>
          <w:sz w:val="20"/>
          <w:szCs w:val="20"/>
        </w:rPr>
        <w:t>establishment of a national green finance vehicle</w:t>
      </w:r>
      <w:r w:rsidR="00CF1E54">
        <w:rPr>
          <w:color w:val="000000" w:themeColor="text1"/>
          <w:sz w:val="20"/>
          <w:szCs w:val="20"/>
        </w:rPr>
        <w:t>,</w:t>
      </w:r>
      <w:r w:rsidR="00CF1E54" w:rsidRPr="00A16BB1">
        <w:rPr>
          <w:color w:val="000000" w:themeColor="text1"/>
          <w:sz w:val="20"/>
          <w:szCs w:val="20"/>
        </w:rPr>
        <w:t xml:space="preserve"> and also further initiatives prioritized by the national government are in the design stage, including Capacity-building Initiative for Transparency and </w:t>
      </w:r>
      <w:r w:rsidR="00CE554F" w:rsidRPr="00A16BB1">
        <w:rPr>
          <w:color w:val="000000" w:themeColor="text1"/>
          <w:sz w:val="20"/>
          <w:szCs w:val="20"/>
        </w:rPr>
        <w:t xml:space="preserve">a project on </w:t>
      </w:r>
      <w:r w:rsidR="00CF1E54" w:rsidRPr="00A16BB1">
        <w:rPr>
          <w:color w:val="000000" w:themeColor="text1"/>
          <w:sz w:val="20"/>
          <w:szCs w:val="20"/>
        </w:rPr>
        <w:t>promoting transition to electric mobility for low carbon development</w:t>
      </w:r>
      <w:r w:rsidR="00CE554F" w:rsidRPr="00A16BB1">
        <w:rPr>
          <w:color w:val="000000" w:themeColor="text1"/>
          <w:sz w:val="20"/>
          <w:szCs w:val="20"/>
        </w:rPr>
        <w:t xml:space="preserve"> in Kyrgyzstan</w:t>
      </w:r>
      <w:r w:rsidRPr="00A16BB1">
        <w:rPr>
          <w:color w:val="000000" w:themeColor="text1"/>
          <w:sz w:val="20"/>
          <w:szCs w:val="20"/>
        </w:rPr>
        <w:t>.</w:t>
      </w:r>
    </w:p>
    <w:p w14:paraId="3F161AE1" w14:textId="6B263898" w:rsidR="00CD48C9" w:rsidRPr="0040638D" w:rsidRDefault="005452AE" w:rsidP="0096038A">
      <w:pPr>
        <w:spacing w:after="0" w:line="240" w:lineRule="auto"/>
        <w:jc w:val="both"/>
        <w:rPr>
          <w:color w:val="000000" w:themeColor="text1"/>
          <w:sz w:val="20"/>
          <w:szCs w:val="20"/>
        </w:rPr>
      </w:pPr>
      <w:r w:rsidRPr="00AB273B">
        <w:rPr>
          <w:color w:val="000000" w:themeColor="text1"/>
          <w:sz w:val="20"/>
          <w:szCs w:val="20"/>
        </w:rPr>
        <w:t>For more information about UNDP’s presence in the Kyrgyz Republic, please visit URL</w:t>
      </w:r>
      <w:r w:rsidRPr="00AB273B">
        <w:rPr>
          <w:sz w:val="20"/>
          <w:szCs w:val="20"/>
        </w:rPr>
        <w:t xml:space="preserve"> </w:t>
      </w:r>
      <w:hyperlink r:id="rId37" w:history="1">
        <w:r w:rsidRPr="00AB273B">
          <w:rPr>
            <w:rStyle w:val="Hyperlink"/>
            <w:sz w:val="20"/>
            <w:szCs w:val="20"/>
          </w:rPr>
          <w:t>https://www.undp.org/kyrgyzstan</w:t>
        </w:r>
      </w:hyperlink>
      <w:r w:rsidRPr="00AB273B">
        <w:rPr>
          <w:color w:val="000000" w:themeColor="text1"/>
          <w:sz w:val="20"/>
          <w:szCs w:val="20"/>
        </w:rPr>
        <w:t>.</w:t>
      </w:r>
      <w:r w:rsidRPr="00047485">
        <w:rPr>
          <w:color w:val="000000" w:themeColor="text1"/>
          <w:sz w:val="20"/>
          <w:szCs w:val="20"/>
        </w:rPr>
        <w:t xml:space="preserve"> </w:t>
      </w:r>
      <w:bookmarkStart w:id="13" w:name="_Hlk45289695"/>
    </w:p>
    <w:bookmarkEnd w:id="13"/>
    <w:p w14:paraId="579D2BFB" w14:textId="77777777" w:rsidR="00CD48C9" w:rsidRPr="0096038A" w:rsidRDefault="00CD48C9" w:rsidP="0096038A">
      <w:pPr>
        <w:spacing w:after="0" w:line="240" w:lineRule="auto"/>
        <w:jc w:val="both"/>
        <w:rPr>
          <w:color w:val="000000" w:themeColor="text1"/>
          <w:highlight w:val="lightGray"/>
        </w:rPr>
      </w:pPr>
    </w:p>
    <w:p w14:paraId="28815F61" w14:textId="5A4BE72E" w:rsidR="00CD48C9" w:rsidRDefault="0096038A" w:rsidP="00CD48C9">
      <w:pPr>
        <w:rPr>
          <w:b/>
          <w:color w:val="276E8B" w:themeColor="accent1" w:themeShade="BF"/>
        </w:rPr>
      </w:pPr>
      <w:r w:rsidRPr="0096038A">
        <w:rPr>
          <w:b/>
          <w:color w:val="276E8B" w:themeColor="accent1" w:themeShade="BF"/>
        </w:rPr>
        <w:t>Exit and sustainability strategy</w:t>
      </w:r>
    </w:p>
    <w:p w14:paraId="45D06C92" w14:textId="4C3AD42D" w:rsidR="00031516" w:rsidRPr="00EE494A" w:rsidRDefault="002A4513" w:rsidP="002A4513">
      <w:pPr>
        <w:spacing w:before="120" w:after="120" w:line="240" w:lineRule="auto"/>
        <w:jc w:val="both"/>
        <w:rPr>
          <w:sz w:val="20"/>
          <w:szCs w:val="20"/>
        </w:rPr>
      </w:pPr>
      <w:r w:rsidRPr="00A85E1A">
        <w:rPr>
          <w:sz w:val="20"/>
          <w:szCs w:val="20"/>
        </w:rPr>
        <w:t xml:space="preserve">The sustainability of the Readiness project </w:t>
      </w:r>
      <w:r w:rsidR="002A7ED1" w:rsidRPr="00A85E1A">
        <w:rPr>
          <w:sz w:val="20"/>
          <w:szCs w:val="20"/>
        </w:rPr>
        <w:t xml:space="preserve">results </w:t>
      </w:r>
      <w:r w:rsidRPr="00A85E1A">
        <w:rPr>
          <w:sz w:val="20"/>
          <w:szCs w:val="20"/>
        </w:rPr>
        <w:t xml:space="preserve">primarily lies </w:t>
      </w:r>
      <w:r w:rsidR="00031516" w:rsidRPr="00A85E1A">
        <w:rPr>
          <w:sz w:val="20"/>
          <w:szCs w:val="20"/>
        </w:rPr>
        <w:t>in the strengthened capacities of SDB, CFC and commercial banks in terms of access to and utilization of green financing</w:t>
      </w:r>
      <w:r w:rsidR="002A7ED1" w:rsidRPr="00A85E1A">
        <w:rPr>
          <w:sz w:val="20"/>
          <w:szCs w:val="20"/>
        </w:rPr>
        <w:t xml:space="preserve"> and further transmission of the necessary information regarding project design and implementation to the different stakeholders at the national and sub-national level in a timely and effective manner. Thus, the Kyrgyz Republic will have a comprehensive set of financial institutions covering different needs under its GCF country programme. </w:t>
      </w:r>
      <w:r w:rsidR="00F009CD" w:rsidRPr="00F009CD">
        <w:rPr>
          <w:sz w:val="20"/>
          <w:szCs w:val="20"/>
        </w:rPr>
        <w:t>To institutionalize the Green Taxonomy, the project includes the development of user-friendly guidelines and regulations that will ensure stakeholders can effectively apply the taxonomy in alignment with national goals. These tools will be disseminated with government ownership, ensuring that they become part of the broader regulatory framework for green finance in Kyrgyzstan.</w:t>
      </w:r>
    </w:p>
    <w:p w14:paraId="5CD39F2C" w14:textId="77777777" w:rsidR="00DD6741" w:rsidRDefault="00DD6741" w:rsidP="002A4513">
      <w:pPr>
        <w:spacing w:before="120" w:after="120" w:line="240" w:lineRule="auto"/>
        <w:jc w:val="both"/>
        <w:rPr>
          <w:sz w:val="20"/>
          <w:szCs w:val="20"/>
        </w:rPr>
      </w:pPr>
      <w:r w:rsidRPr="00EE494A">
        <w:rPr>
          <w:sz w:val="20"/>
          <w:szCs w:val="20"/>
        </w:rPr>
        <w:t>The rollout of incentives for green financing, if adopted, will gain momentum and encourage the financial sector to prioritize green investments in the future. This shift will be further supported by the growing availability of knowledge on sources and strategies for mobilizing green finance.</w:t>
      </w:r>
    </w:p>
    <w:p w14:paraId="2ACB59E9" w14:textId="77777777" w:rsidR="00EA2B15" w:rsidRPr="00EA2B15" w:rsidRDefault="00EA2B15" w:rsidP="00EA2B15">
      <w:pPr>
        <w:jc w:val="both"/>
        <w:rPr>
          <w:sz w:val="20"/>
          <w:szCs w:val="20"/>
        </w:rPr>
      </w:pPr>
      <w:r w:rsidRPr="00EA2B15">
        <w:rPr>
          <w:sz w:val="20"/>
          <w:szCs w:val="20"/>
        </w:rPr>
        <w:t>The continuation and scaling of the Readiness project’s results will be supported through alignment with ongoing and planned projects and programs beyond its timeline. For example, the USAID Kyrgyz Republic Green Solutions Activity, launched in September 2024 with a five-year implementation period, aims to build the capacity of private banks to access climate and green finance. This includes facilitating applications to international funds and issuing green bonds for both domestic and international markets. Similarly, the World Bank is exploring a sovereign-backed investment project to provide additional resources to the State Development Bank (SDB), enhancing the supply of green finance products for both financial institutions and direct borrowers. Additionally, the Asian Development Bank (ADB) has launched technical assistance to strengthen the Climate Finance Center (CFC) in areas such as knowledge accumulation and transfer related to green and climate project preparation and finance. During the design phase of the proposed project, consultations with relevant stakeholders emphasized the importance of coordinated efforts and collaboration to achieve these shared objectives.</w:t>
      </w:r>
    </w:p>
    <w:p w14:paraId="176120B8" w14:textId="77777777" w:rsidR="00EA2B15" w:rsidRDefault="00EA2B15" w:rsidP="00EA2B15">
      <w:pPr>
        <w:jc w:val="both"/>
        <w:rPr>
          <w:sz w:val="20"/>
          <w:szCs w:val="20"/>
        </w:rPr>
      </w:pPr>
      <w:r w:rsidRPr="00EA2B15">
        <w:rPr>
          <w:sz w:val="20"/>
          <w:szCs w:val="20"/>
        </w:rPr>
        <w:t xml:space="preserve">Starting in 2025, commercial banks in Kyrgyzstan will also begin implementing IFRS S1 and IFRS S2, which establish requirements for disclosing sustainability-related risks and opportunities (IFRS S1) and climate-related disclosures (IFRS S2). The outcomes of the Readiness project, particularly in establishing internal regulatory standards and validation and verification systems for financial institutions, will be integrated into this transition process. These efforts will ensure that green finance outcomes are effectively embedded in the new reporting framework, allowing for the ongoing monitoring and reporting of the project’s impact beyond its implementation timeline. This integration will contribute </w:t>
      </w:r>
      <w:r w:rsidRPr="00EA2B15">
        <w:rPr>
          <w:sz w:val="20"/>
          <w:szCs w:val="20"/>
        </w:rPr>
        <w:lastRenderedPageBreak/>
        <w:t>to sustained progress in aligning Kyrgyzstan’s financial sector with international best practices in green and climate finance.</w:t>
      </w:r>
    </w:p>
    <w:p w14:paraId="781C817C" w14:textId="011ED86B" w:rsidR="0010204F" w:rsidRPr="0010204F" w:rsidRDefault="0010204F" w:rsidP="00EA2B15">
      <w:pPr>
        <w:jc w:val="both"/>
        <w:rPr>
          <w:rFonts w:cstheme="minorHAnsi"/>
          <w:sz w:val="20"/>
          <w:szCs w:val="20"/>
        </w:rPr>
      </w:pPr>
      <w:r w:rsidRPr="0010204F">
        <w:rPr>
          <w:b/>
          <w:color w:val="276E8B" w:themeColor="accent1" w:themeShade="BF"/>
        </w:rPr>
        <w:t>Grant closure</w:t>
      </w:r>
      <w:r w:rsidRPr="0010204F">
        <w:rPr>
          <w:rFonts w:cstheme="minorHAnsi"/>
          <w:b/>
          <w:bCs/>
          <w:sz w:val="20"/>
          <w:szCs w:val="20"/>
        </w:rPr>
        <w:t>:</w:t>
      </w:r>
      <w:r w:rsidRPr="0010204F">
        <w:rPr>
          <w:rFonts w:cstheme="minorHAnsi"/>
          <w:sz w:val="20"/>
          <w:szCs w:val="20"/>
        </w:rPr>
        <w:t xml:space="preserve"> Upon completion of the grant activities, the grant recipient (Delivery Partner) shall transfer all tangible and intangible assets and their ownership to the grant beneficiaries, or any other body(ies) designated by the NDA.</w:t>
      </w:r>
    </w:p>
    <w:p w14:paraId="78A06AE7" w14:textId="77777777" w:rsidR="0010204F" w:rsidRPr="0010204F" w:rsidRDefault="0010204F" w:rsidP="0010204F">
      <w:pPr>
        <w:jc w:val="both"/>
        <w:rPr>
          <w:sz w:val="20"/>
          <w:szCs w:val="20"/>
        </w:rPr>
      </w:pPr>
      <w:r w:rsidRPr="0010204F">
        <w:rPr>
          <w:b/>
          <w:color w:val="276E8B" w:themeColor="accent1" w:themeShade="BF"/>
        </w:rPr>
        <w:t>Prohibited practices policies</w:t>
      </w:r>
      <w:r w:rsidRPr="0010204F">
        <w:rPr>
          <w:b/>
          <w:color w:val="276E8B" w:themeColor="accent1" w:themeShade="BF"/>
          <w:sz w:val="20"/>
          <w:szCs w:val="20"/>
        </w:rPr>
        <w:t>:</w:t>
      </w:r>
      <w:r w:rsidRPr="0010204F">
        <w:rPr>
          <w:b/>
          <w:bCs/>
          <w:sz w:val="20"/>
          <w:szCs w:val="20"/>
        </w:rPr>
        <w:t xml:space="preserve"> </w:t>
      </w:r>
      <w:r w:rsidRPr="0010204F">
        <w:rPr>
          <w:sz w:val="20"/>
          <w:szCs w:val="20"/>
        </w:rPr>
        <w:t>UNDP has a strict Anti-Money Laundering and Countering the Financing of Terrorism Policy (AML CFT). There are several measures designed to impose stringent controls and due diligence requirements, raise awareness, and facilitate the appropriate reporting process to prevent and detect activities linked to money laundering and financing of terrorism.</w:t>
      </w:r>
    </w:p>
    <w:p w14:paraId="3D321FAC" w14:textId="77777777" w:rsidR="0010204F" w:rsidRPr="0010204F" w:rsidRDefault="0010204F" w:rsidP="0010204F">
      <w:pPr>
        <w:jc w:val="both"/>
        <w:rPr>
          <w:sz w:val="20"/>
          <w:szCs w:val="20"/>
        </w:rPr>
      </w:pPr>
      <w:r w:rsidRPr="0010204F">
        <w:rPr>
          <w:sz w:val="20"/>
          <w:szCs w:val="20"/>
        </w:rPr>
        <w:t>Measures include screening potential counterparties prior to contractual agreement against the United Nations Global Marketplace Ineligible Vendor Lists. Contractual arrangements will have appropriate representations and warranties from UNDP’s Counterparties regarding AML/CFT, with termination clauses in case of breach of such AML/CFT representations and warranties.</w:t>
      </w:r>
    </w:p>
    <w:p w14:paraId="46F5D7C9" w14:textId="77777777" w:rsidR="0010204F" w:rsidRPr="0010204F" w:rsidRDefault="0010204F" w:rsidP="0010204F">
      <w:pPr>
        <w:jc w:val="both"/>
        <w:rPr>
          <w:sz w:val="20"/>
          <w:szCs w:val="20"/>
        </w:rPr>
      </w:pPr>
      <w:r w:rsidRPr="0010204F">
        <w:rPr>
          <w:sz w:val="20"/>
          <w:szCs w:val="20"/>
        </w:rPr>
        <w:t>All credible allegations of activities believed to contravene the principles set out in this AML/CFT Policy will be assessed and investigated, as appropriate, in accordance with the Charter of the UNDP Office of Audit and Investigations (“OAI”), the OAI Investigation Guidelines and the UNDP Legal Framework for Addressing Non-compliance with UN Standards of Conduct, when applicable. The AML/CFT Policy will be strictly followed during the project implementation.</w:t>
      </w:r>
    </w:p>
    <w:p w14:paraId="60640CBD" w14:textId="77777777" w:rsidR="0010204F" w:rsidRPr="0010204F" w:rsidRDefault="0010204F" w:rsidP="0010204F">
      <w:pPr>
        <w:jc w:val="both"/>
        <w:rPr>
          <w:sz w:val="20"/>
          <w:szCs w:val="20"/>
        </w:rPr>
      </w:pPr>
      <w:r w:rsidRPr="0010204F">
        <w:rPr>
          <w:sz w:val="20"/>
          <w:szCs w:val="20"/>
        </w:rPr>
        <w:t>Further UNDP has a policy for reporting misconduct and a strict Policy for Protection Against Retaliation for reporting misconduct and cooperating with a duly authorized audit or investigation.</w:t>
      </w:r>
    </w:p>
    <w:p w14:paraId="6B14B2EF" w14:textId="34561827" w:rsidR="00047485" w:rsidRPr="005C117F" w:rsidRDefault="0010204F" w:rsidP="0040638D">
      <w:pPr>
        <w:jc w:val="both"/>
        <w:rPr>
          <w:sz w:val="20"/>
          <w:szCs w:val="20"/>
        </w:rPr>
      </w:pPr>
      <w:r w:rsidRPr="00032067">
        <w:rPr>
          <w:b/>
          <w:color w:val="276E8B" w:themeColor="accent1" w:themeShade="BF"/>
        </w:rPr>
        <w:t>Social and Environmental Screening</w:t>
      </w:r>
      <w:r w:rsidRPr="0010204F">
        <w:rPr>
          <w:b/>
          <w:color w:val="276E8B" w:themeColor="accent1" w:themeShade="BF"/>
          <w:sz w:val="20"/>
          <w:szCs w:val="20"/>
        </w:rPr>
        <w:t>:</w:t>
      </w:r>
      <w:r w:rsidRPr="0010204F">
        <w:rPr>
          <w:sz w:val="20"/>
          <w:szCs w:val="20"/>
        </w:rPr>
        <w:t xml:space="preserve"> This project proposal has been screened (i) to identify and reflect the significance of potential impacts or risks that project activities might present, and (ii) to identify opportunities to enhance benefits and to support stakeholders. UNDP's mandatory Social and Environmental Screening Procedure (SESP) provides detailed requirements and guidance on screening and assessment. Categorization is undertaken to reflect the level of review and resources required for addressing such impacts and risks. UNDP will utilize its Social and Environmental Screening Procedure (SESP) to identify potential social and environmental risks and opportunities associated with the project. Concept notes developed under the project for submission to GCF will be scrutinized as to its type, location, scale, sensitivity and the magnitude of its potential social and environmental impacts. Potential adverse gender impacts related to project activities will also be identified and differentiated measures will be adopted to prevent gender-based discrimination. Potential risks of gender-based violence and/or sexual exploitation and abuse of men, women, girls and boys that may occur in connection with any of the designed activities will be considered.</w:t>
      </w:r>
    </w:p>
    <w:p w14:paraId="459C9665" w14:textId="497E2F3E" w:rsidR="00DC315F" w:rsidRDefault="00DC315F" w:rsidP="00D86181">
      <w:pPr>
        <w:pStyle w:val="Heading3"/>
      </w:pPr>
      <w:bookmarkStart w:id="14" w:name="_Toc119587229"/>
      <w:r w:rsidRPr="00DC315F">
        <w:t xml:space="preserve">Section 6. </w:t>
      </w:r>
      <w:bookmarkEnd w:id="14"/>
      <w:r w:rsidRPr="00DC315F">
        <w:t xml:space="preserve">Budget, </w:t>
      </w:r>
      <w:r w:rsidR="0045311B">
        <w:t>P</w:t>
      </w:r>
      <w:r w:rsidR="0045311B" w:rsidRPr="00DC315F">
        <w:t>rocurement</w:t>
      </w:r>
      <w:r w:rsidR="0045311B">
        <w:t xml:space="preserve">, HR </w:t>
      </w:r>
      <w:r w:rsidR="008003D3">
        <w:t xml:space="preserve">and </w:t>
      </w:r>
      <w:r w:rsidR="00134A00">
        <w:t>I</w:t>
      </w:r>
      <w:r w:rsidRPr="00DC315F">
        <w:t>mplementation plans</w:t>
      </w:r>
      <w:r w:rsidR="00134A00">
        <w:t>:</w:t>
      </w:r>
      <w:r w:rsidR="00D962D0">
        <w:t xml:space="preserve"> </w:t>
      </w:r>
    </w:p>
    <w:p w14:paraId="77F9ED8C" w14:textId="4724F9B7" w:rsidR="00DC315F" w:rsidRPr="005F0AC3" w:rsidRDefault="00DC315F" w:rsidP="00163FD5">
      <w:pPr>
        <w:pStyle w:val="ListParagraph"/>
        <w:numPr>
          <w:ilvl w:val="1"/>
          <w:numId w:val="5"/>
        </w:numPr>
        <w:tabs>
          <w:tab w:val="left" w:pos="720"/>
          <w:tab w:val="left" w:pos="7200"/>
        </w:tabs>
        <w:rPr>
          <w:b/>
          <w:color w:val="276E8B" w:themeColor="accent1" w:themeShade="BF"/>
        </w:rPr>
      </w:pPr>
      <w:r w:rsidRPr="005F0AC3">
        <w:rPr>
          <w:b/>
          <w:color w:val="276E8B" w:themeColor="accent1" w:themeShade="BF"/>
        </w:rPr>
        <w:t>Budget Plan</w:t>
      </w:r>
    </w:p>
    <w:p w14:paraId="181646A1" w14:textId="77777777" w:rsidR="001F0C23" w:rsidRPr="001F0C23" w:rsidRDefault="001F0C23" w:rsidP="00D170C5">
      <w:pPr>
        <w:spacing w:before="120" w:after="120" w:line="240" w:lineRule="auto"/>
        <w:ind w:right="-29"/>
        <w:jc w:val="both"/>
      </w:pPr>
    </w:p>
    <w:p w14:paraId="279829A7" w14:textId="1C38E9A9" w:rsidR="00DC315F" w:rsidRPr="00E56E24" w:rsidRDefault="00DC315F" w:rsidP="00163FD5">
      <w:pPr>
        <w:pStyle w:val="ListParagraph"/>
        <w:numPr>
          <w:ilvl w:val="1"/>
          <w:numId w:val="5"/>
        </w:numPr>
        <w:tabs>
          <w:tab w:val="left" w:pos="720"/>
          <w:tab w:val="left" w:pos="7200"/>
        </w:tabs>
        <w:rPr>
          <w:b/>
          <w:color w:val="276E8B" w:themeColor="accent1" w:themeShade="BF"/>
        </w:rPr>
      </w:pPr>
      <w:r w:rsidRPr="00E56E24">
        <w:rPr>
          <w:b/>
          <w:color w:val="276E8B" w:themeColor="accent1" w:themeShade="BF"/>
        </w:rPr>
        <w:t>Procurement Plan</w:t>
      </w:r>
    </w:p>
    <w:p w14:paraId="4FDF7DDE" w14:textId="77777777" w:rsidR="00A24D7B" w:rsidRPr="00A24D7B" w:rsidRDefault="00A24D7B" w:rsidP="00A24D7B">
      <w:pPr>
        <w:spacing w:before="120" w:after="120" w:line="240" w:lineRule="auto"/>
        <w:ind w:right="-29"/>
        <w:jc w:val="both"/>
      </w:pPr>
    </w:p>
    <w:p w14:paraId="74493753" w14:textId="20AE3C4E" w:rsidR="7E46FB1D" w:rsidRDefault="7E46FB1D" w:rsidP="48919BC6">
      <w:pPr>
        <w:rPr>
          <w:rFonts w:ascii="Arial" w:eastAsia="Arial" w:hAnsi="Arial" w:cs="Arial"/>
          <w:b/>
          <w:bCs/>
          <w:color w:val="276E8B" w:themeColor="accent1" w:themeShade="BF"/>
          <w:sz w:val="20"/>
          <w:szCs w:val="20"/>
        </w:rPr>
      </w:pPr>
      <w:r w:rsidRPr="00D65A75">
        <w:rPr>
          <w:b/>
          <w:bCs/>
          <w:color w:val="276E8B" w:themeColor="accent1" w:themeShade="BF"/>
        </w:rPr>
        <w:t>6.3 Human Resources (HR) Plan</w:t>
      </w:r>
      <w:r w:rsidRPr="48919BC6">
        <w:rPr>
          <w:rFonts w:ascii="Arial" w:eastAsia="Arial" w:hAnsi="Arial" w:cs="Arial"/>
          <w:b/>
          <w:bCs/>
          <w:color w:val="276E8B" w:themeColor="accent1" w:themeShade="BF"/>
          <w:sz w:val="20"/>
          <w:szCs w:val="20"/>
        </w:rPr>
        <w:t xml:space="preserve"> </w:t>
      </w:r>
    </w:p>
    <w:p w14:paraId="4781334F" w14:textId="77777777" w:rsidR="00313BAB" w:rsidRDefault="00313BAB" w:rsidP="48919BC6">
      <w:pPr>
        <w:tabs>
          <w:tab w:val="left" w:pos="720"/>
          <w:tab w:val="left" w:pos="7200"/>
        </w:tabs>
        <w:rPr>
          <w:b/>
          <w:bCs/>
          <w:color w:val="276E8B" w:themeColor="accent1" w:themeShade="BF"/>
        </w:rPr>
      </w:pPr>
    </w:p>
    <w:p w14:paraId="618A55D4" w14:textId="00A49708" w:rsidR="00071DDC" w:rsidRPr="00B3015A" w:rsidRDefault="7E46FB1D" w:rsidP="00B3015A">
      <w:pPr>
        <w:tabs>
          <w:tab w:val="left" w:pos="720"/>
          <w:tab w:val="left" w:pos="7200"/>
        </w:tabs>
        <w:rPr>
          <w:rStyle w:val="DefaultText"/>
          <w:rFonts w:cstheme="minorBidi"/>
          <w:b/>
          <w:color w:val="276E8B" w:themeColor="accent1" w:themeShade="BF"/>
          <w:sz w:val="22"/>
          <w:szCs w:val="22"/>
        </w:rPr>
      </w:pPr>
      <w:r w:rsidRPr="48919BC6">
        <w:rPr>
          <w:b/>
          <w:bCs/>
          <w:color w:val="276E8B" w:themeColor="accent1" w:themeShade="BF"/>
        </w:rPr>
        <w:t xml:space="preserve">6.4 </w:t>
      </w:r>
      <w:r w:rsidR="00DC315F" w:rsidRPr="00E56E24">
        <w:rPr>
          <w:b/>
          <w:color w:val="276E8B" w:themeColor="accent1" w:themeShade="BF"/>
        </w:rPr>
        <w:t>Implementation Plan</w:t>
      </w:r>
    </w:p>
    <w:sectPr w:rsidR="00071DDC" w:rsidRPr="00B3015A" w:rsidSect="0048348F">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E75DD" w14:textId="77777777" w:rsidR="00621ABB" w:rsidRDefault="00621ABB" w:rsidP="007C1AED">
      <w:pPr>
        <w:spacing w:after="0" w:line="240" w:lineRule="auto"/>
      </w:pPr>
      <w:r>
        <w:separator/>
      </w:r>
    </w:p>
  </w:endnote>
  <w:endnote w:type="continuationSeparator" w:id="0">
    <w:p w14:paraId="20AD7986" w14:textId="77777777" w:rsidR="00621ABB" w:rsidRDefault="00621ABB" w:rsidP="007C1AED">
      <w:pPr>
        <w:spacing w:after="0" w:line="240" w:lineRule="auto"/>
      </w:pPr>
      <w:r>
        <w:continuationSeparator/>
      </w:r>
    </w:p>
  </w:endnote>
  <w:endnote w:type="continuationNotice" w:id="1">
    <w:p w14:paraId="59FA223D" w14:textId="77777777" w:rsidR="00621ABB" w:rsidRDefault="00621A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unPenh">
    <w:altName w:val="Leelawadee UI"/>
    <w:charset w:val="00"/>
    <w:family w:val="auto"/>
    <w:pitch w:val="variable"/>
    <w:sig w:usb0="80000003" w:usb1="00000000" w:usb2="0001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AppleSystemUIFont">
    <w:altName w:val="Cambria"/>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B127" w14:textId="77777777" w:rsidR="00AF446E" w:rsidRDefault="00AF446E" w:rsidP="003E089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14AFB56" w14:textId="77777777" w:rsidR="00AF446E" w:rsidRDefault="00AF446E" w:rsidP="00AF446E">
    <w:pPr>
      <w:pStyle w:val="Footer"/>
      <w:ind w:right="20" w:firstLine="360"/>
      <w:jc w:val="right"/>
    </w:pPr>
    <w:r w:rsidRPr="00AF446E">
      <w:t>GREEN CLIMATE FUND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7322810"/>
      <w:docPartObj>
        <w:docPartGallery w:val="Page Numbers (Bottom of Page)"/>
        <w:docPartUnique/>
      </w:docPartObj>
    </w:sdtPr>
    <w:sdtEndPr>
      <w:rPr>
        <w:rStyle w:val="PageNumber"/>
      </w:rPr>
    </w:sdtEndPr>
    <w:sdtContent>
      <w:p w14:paraId="28FEFACE" w14:textId="77777777" w:rsidR="00AF446E" w:rsidRDefault="00AF446E" w:rsidP="003E089D">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8E86CB4" w14:textId="77777777" w:rsidR="00AF446E" w:rsidRDefault="00AF446E" w:rsidP="00AF446E">
    <w:pPr>
      <w:pStyle w:val="Footer"/>
      <w:ind w:right="360"/>
    </w:pPr>
    <w:r>
      <w:t>GREEN CLIMATE 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325E2" w14:textId="77777777" w:rsidR="00621ABB" w:rsidRDefault="00621ABB" w:rsidP="007C1AED">
      <w:pPr>
        <w:spacing w:after="0" w:line="240" w:lineRule="auto"/>
      </w:pPr>
      <w:r>
        <w:separator/>
      </w:r>
    </w:p>
  </w:footnote>
  <w:footnote w:type="continuationSeparator" w:id="0">
    <w:p w14:paraId="221E647D" w14:textId="77777777" w:rsidR="00621ABB" w:rsidRDefault="00621ABB" w:rsidP="007C1AED">
      <w:pPr>
        <w:spacing w:after="0" w:line="240" w:lineRule="auto"/>
      </w:pPr>
      <w:r>
        <w:continuationSeparator/>
      </w:r>
    </w:p>
  </w:footnote>
  <w:footnote w:type="continuationNotice" w:id="1">
    <w:p w14:paraId="78FCA956" w14:textId="77777777" w:rsidR="00621ABB" w:rsidRDefault="00621ABB">
      <w:pPr>
        <w:spacing w:after="0" w:line="240" w:lineRule="auto"/>
      </w:pPr>
    </w:p>
  </w:footnote>
  <w:footnote w:id="2">
    <w:p w14:paraId="2D16E6CF" w14:textId="77777777" w:rsidR="00556639" w:rsidRDefault="00556639" w:rsidP="00044314">
      <w:pPr>
        <w:pStyle w:val="FootnoteText"/>
      </w:pPr>
      <w:r>
        <w:rPr>
          <w:rStyle w:val="FootnoteReference"/>
        </w:rPr>
        <w:footnoteRef/>
      </w:r>
      <w:r>
        <w:t xml:space="preserve"> </w:t>
      </w:r>
      <w:r w:rsidRPr="00801F5B">
        <w:t>Please note that for adaptation planning proposals, only the box for objective 3 may be ticked.</w:t>
      </w:r>
    </w:p>
  </w:footnote>
  <w:footnote w:id="3">
    <w:p w14:paraId="2B6FB7DA" w14:textId="76818B55" w:rsidR="00A12F81" w:rsidRDefault="00A12F81">
      <w:pPr>
        <w:pStyle w:val="FootnoteText"/>
      </w:pPr>
      <w:r>
        <w:rPr>
          <w:rStyle w:val="FootnoteReference"/>
        </w:rPr>
        <w:footnoteRef/>
      </w:r>
      <w:r>
        <w:t xml:space="preserve"> </w:t>
      </w:r>
      <w:r w:rsidRPr="009F49EE">
        <w:t xml:space="preserve">The implementation period shall begin on the date the </w:t>
      </w:r>
      <w:r w:rsidR="00840EDE">
        <w:t>grant is effective</w:t>
      </w:r>
      <w:r w:rsidRPr="009F49EE">
        <w:t>.</w:t>
      </w:r>
    </w:p>
  </w:footnote>
  <w:footnote w:id="4">
    <w:p w14:paraId="0427BD01" w14:textId="77777777" w:rsidR="00556639" w:rsidRPr="00F97840" w:rsidRDefault="00556639" w:rsidP="00044314">
      <w:pPr>
        <w:pStyle w:val="FootnoteText"/>
        <w:rPr>
          <w:lang w:val="en-GB"/>
        </w:rPr>
      </w:pPr>
      <w:r>
        <w:rPr>
          <w:rStyle w:val="FootnoteReference"/>
        </w:rPr>
        <w:footnoteRef/>
      </w:r>
      <w:r>
        <w:t xml:space="preserve"> </w:t>
      </w:r>
      <w:r w:rsidRPr="00F97840">
        <w:t>Please note that proposals for adaptation planning support (objective 3) cannot be submitted as multiple-year strategic Readiness proposals.</w:t>
      </w:r>
    </w:p>
  </w:footnote>
  <w:footnote w:id="5">
    <w:p w14:paraId="05F1E16B" w14:textId="6023219B" w:rsidR="00AD0EF4" w:rsidRPr="00CF2BCC" w:rsidRDefault="00AD0EF4">
      <w:pPr>
        <w:pStyle w:val="FootnoteText"/>
        <w:rPr>
          <w:sz w:val="12"/>
          <w:szCs w:val="12"/>
        </w:rPr>
      </w:pPr>
      <w:r w:rsidRPr="00CF2BCC">
        <w:rPr>
          <w:rStyle w:val="FootnoteReference"/>
          <w:sz w:val="12"/>
          <w:szCs w:val="12"/>
        </w:rPr>
        <w:footnoteRef/>
      </w:r>
      <w:r w:rsidRPr="00CF2BCC">
        <w:rPr>
          <w:sz w:val="12"/>
          <w:szCs w:val="12"/>
        </w:rPr>
        <w:t xml:space="preserve"> </w:t>
      </w:r>
      <w:r w:rsidR="00060C50" w:rsidRPr="00CF2BCC">
        <w:rPr>
          <w:sz w:val="12"/>
          <w:szCs w:val="12"/>
        </w:rPr>
        <w:t>NSC</w:t>
      </w:r>
      <w:r w:rsidRPr="00CF2BCC">
        <w:rPr>
          <w:sz w:val="12"/>
          <w:szCs w:val="12"/>
        </w:rPr>
        <w:t xml:space="preserve">: </w:t>
      </w:r>
      <w:hyperlink r:id="rId1" w:history="1">
        <w:r w:rsidRPr="00CF2BCC">
          <w:rPr>
            <w:rStyle w:val="Hyperlink"/>
            <w:sz w:val="12"/>
            <w:szCs w:val="12"/>
          </w:rPr>
          <w:t>https://stat.gov.kg/ru/statistics/naselenie/</w:t>
        </w:r>
      </w:hyperlink>
      <w:r w:rsidRPr="00CF2BCC">
        <w:rPr>
          <w:sz w:val="12"/>
          <w:szCs w:val="12"/>
        </w:rPr>
        <w:t xml:space="preserve"> </w:t>
      </w:r>
    </w:p>
  </w:footnote>
  <w:footnote w:id="6">
    <w:p w14:paraId="578D4B5D" w14:textId="4003E9EF" w:rsidR="00A13BF3" w:rsidRPr="00CF2BCC" w:rsidRDefault="00A13BF3" w:rsidP="00A13BF3">
      <w:pPr>
        <w:pStyle w:val="FootnoteText"/>
        <w:rPr>
          <w:sz w:val="12"/>
          <w:szCs w:val="12"/>
        </w:rPr>
      </w:pPr>
      <w:r w:rsidRPr="00CF2BCC">
        <w:rPr>
          <w:rStyle w:val="FootnoteReference"/>
          <w:sz w:val="12"/>
          <w:szCs w:val="12"/>
        </w:rPr>
        <w:footnoteRef/>
      </w:r>
      <w:r w:rsidRPr="00CF2BCC">
        <w:rPr>
          <w:sz w:val="12"/>
          <w:szCs w:val="12"/>
        </w:rPr>
        <w:t xml:space="preserve"> </w:t>
      </w:r>
      <w:r w:rsidR="00AD0EF4" w:rsidRPr="00CF2BCC">
        <w:rPr>
          <w:sz w:val="12"/>
          <w:szCs w:val="12"/>
        </w:rPr>
        <w:t xml:space="preserve">The </w:t>
      </w:r>
      <w:r w:rsidR="00AD0EF4" w:rsidRPr="00CF2BCC">
        <w:rPr>
          <w:rStyle w:val="ezkurwreuab5ozgtqnkl"/>
          <w:sz w:val="12"/>
          <w:szCs w:val="12"/>
        </w:rPr>
        <w:t>National</w:t>
      </w:r>
      <w:r w:rsidR="00AD0EF4" w:rsidRPr="00CF2BCC">
        <w:rPr>
          <w:sz w:val="12"/>
          <w:szCs w:val="12"/>
        </w:rPr>
        <w:t xml:space="preserve"> </w:t>
      </w:r>
      <w:r w:rsidR="00AD0EF4" w:rsidRPr="00CF2BCC">
        <w:rPr>
          <w:rStyle w:val="ezkurwreuab5ozgtqnkl"/>
          <w:sz w:val="12"/>
          <w:szCs w:val="12"/>
        </w:rPr>
        <w:t>Development</w:t>
      </w:r>
      <w:r w:rsidR="00AD0EF4" w:rsidRPr="00CF2BCC">
        <w:rPr>
          <w:sz w:val="12"/>
          <w:szCs w:val="12"/>
        </w:rPr>
        <w:t xml:space="preserve"> </w:t>
      </w:r>
      <w:r w:rsidR="00AD0EF4" w:rsidRPr="00CF2BCC">
        <w:rPr>
          <w:rStyle w:val="ezkurwreuab5ozgtqnkl"/>
          <w:sz w:val="12"/>
          <w:szCs w:val="12"/>
        </w:rPr>
        <w:t>Program</w:t>
      </w:r>
      <w:r w:rsidR="00AD0EF4" w:rsidRPr="00CF2BCC">
        <w:rPr>
          <w:sz w:val="12"/>
          <w:szCs w:val="12"/>
        </w:rPr>
        <w:t xml:space="preserve"> of the </w:t>
      </w:r>
      <w:r w:rsidR="00AD0EF4" w:rsidRPr="00CF2BCC">
        <w:rPr>
          <w:rStyle w:val="ezkurwreuab5ozgtqnkl"/>
          <w:sz w:val="12"/>
          <w:szCs w:val="12"/>
        </w:rPr>
        <w:t>Kyrgyz</w:t>
      </w:r>
      <w:r w:rsidR="00AD0EF4" w:rsidRPr="00CF2BCC">
        <w:rPr>
          <w:sz w:val="12"/>
          <w:szCs w:val="12"/>
        </w:rPr>
        <w:t xml:space="preserve"> </w:t>
      </w:r>
      <w:r w:rsidR="00AD0EF4" w:rsidRPr="00CF2BCC">
        <w:rPr>
          <w:rStyle w:val="ezkurwreuab5ozgtqnkl"/>
          <w:sz w:val="12"/>
          <w:szCs w:val="12"/>
        </w:rPr>
        <w:t>Republic</w:t>
      </w:r>
      <w:r w:rsidR="00AD0EF4" w:rsidRPr="00CF2BCC">
        <w:rPr>
          <w:sz w:val="12"/>
          <w:szCs w:val="12"/>
        </w:rPr>
        <w:t xml:space="preserve"> </w:t>
      </w:r>
      <w:r w:rsidR="00AD0EF4" w:rsidRPr="00CF2BCC">
        <w:rPr>
          <w:rStyle w:val="ezkurwreuab5ozgtqnkl"/>
          <w:sz w:val="12"/>
          <w:szCs w:val="12"/>
        </w:rPr>
        <w:t>until</w:t>
      </w:r>
      <w:r w:rsidR="00AD0EF4" w:rsidRPr="00CF2BCC">
        <w:rPr>
          <w:sz w:val="12"/>
          <w:szCs w:val="12"/>
        </w:rPr>
        <w:t xml:space="preserve"> </w:t>
      </w:r>
      <w:r w:rsidR="00AD0EF4" w:rsidRPr="00CF2BCC">
        <w:rPr>
          <w:rStyle w:val="ezkurwreuab5ozgtqnkl"/>
          <w:sz w:val="12"/>
          <w:szCs w:val="12"/>
        </w:rPr>
        <w:t>2026</w:t>
      </w:r>
      <w:r w:rsidR="00AD0EF4" w:rsidRPr="00CF2BCC">
        <w:rPr>
          <w:sz w:val="12"/>
          <w:szCs w:val="12"/>
        </w:rPr>
        <w:t xml:space="preserve">: </w:t>
      </w:r>
      <w:hyperlink r:id="rId2" w:history="1">
        <w:r w:rsidR="00AD0EF4" w:rsidRPr="00CF2BCC">
          <w:rPr>
            <w:rStyle w:val="Hyperlink"/>
            <w:sz w:val="12"/>
            <w:szCs w:val="12"/>
          </w:rPr>
          <w:t>https://cbd.minjust.gov.kg/430700/edition/13462/ru</w:t>
        </w:r>
      </w:hyperlink>
      <w:r w:rsidR="00AD0EF4" w:rsidRPr="00CF2BCC">
        <w:rPr>
          <w:sz w:val="12"/>
          <w:szCs w:val="12"/>
        </w:rPr>
        <w:t xml:space="preserve"> </w:t>
      </w:r>
    </w:p>
  </w:footnote>
  <w:footnote w:id="7">
    <w:p w14:paraId="475362CA" w14:textId="68D3AF43" w:rsidR="00F17EBF" w:rsidRPr="00CF2BCC" w:rsidRDefault="00F17EBF">
      <w:pPr>
        <w:pStyle w:val="FootnoteText"/>
        <w:rPr>
          <w:sz w:val="12"/>
          <w:szCs w:val="12"/>
        </w:rPr>
      </w:pPr>
      <w:r w:rsidRPr="00CF2BCC">
        <w:rPr>
          <w:rStyle w:val="FootnoteReference"/>
          <w:sz w:val="12"/>
          <w:szCs w:val="12"/>
        </w:rPr>
        <w:footnoteRef/>
      </w:r>
      <w:r w:rsidRPr="00CF2BCC">
        <w:rPr>
          <w:sz w:val="12"/>
          <w:szCs w:val="12"/>
        </w:rPr>
        <w:t xml:space="preserve"> Human Development Report 2023-24: </w:t>
      </w:r>
      <w:hyperlink r:id="rId3" w:history="1">
        <w:r w:rsidRPr="00CF2BCC">
          <w:rPr>
            <w:rStyle w:val="Hyperlink"/>
            <w:sz w:val="12"/>
            <w:szCs w:val="12"/>
          </w:rPr>
          <w:t>https://hdr.undp.org/content/human-development-report-2023-24</w:t>
        </w:r>
      </w:hyperlink>
      <w:r w:rsidRPr="00CF2BCC">
        <w:rPr>
          <w:sz w:val="12"/>
          <w:szCs w:val="12"/>
        </w:rPr>
        <w:t xml:space="preserve"> </w:t>
      </w:r>
    </w:p>
  </w:footnote>
  <w:footnote w:id="8">
    <w:p w14:paraId="262A2378" w14:textId="1521720F" w:rsidR="00060C50" w:rsidRPr="00CF2BCC" w:rsidRDefault="00060C50">
      <w:pPr>
        <w:pStyle w:val="FootnoteText"/>
        <w:rPr>
          <w:sz w:val="12"/>
          <w:szCs w:val="12"/>
        </w:rPr>
      </w:pPr>
      <w:r w:rsidRPr="00CF2BCC">
        <w:rPr>
          <w:rStyle w:val="FootnoteReference"/>
          <w:sz w:val="12"/>
          <w:szCs w:val="12"/>
        </w:rPr>
        <w:footnoteRef/>
      </w:r>
      <w:r w:rsidRPr="00CF2BCC">
        <w:rPr>
          <w:sz w:val="12"/>
          <w:szCs w:val="12"/>
        </w:rPr>
        <w:t xml:space="preserve"> I</w:t>
      </w:r>
      <w:r w:rsidR="00CF5BC9" w:rsidRPr="00CF2BCC">
        <w:rPr>
          <w:sz w:val="12"/>
          <w:szCs w:val="12"/>
        </w:rPr>
        <w:t xml:space="preserve">nternational </w:t>
      </w:r>
      <w:r w:rsidRPr="00CF2BCC">
        <w:rPr>
          <w:sz w:val="12"/>
          <w:szCs w:val="12"/>
        </w:rPr>
        <w:t>M</w:t>
      </w:r>
      <w:r w:rsidR="00CF5BC9" w:rsidRPr="00CF2BCC">
        <w:rPr>
          <w:sz w:val="12"/>
          <w:szCs w:val="12"/>
        </w:rPr>
        <w:t xml:space="preserve">onetary </w:t>
      </w:r>
      <w:r w:rsidRPr="00CF2BCC">
        <w:rPr>
          <w:sz w:val="12"/>
          <w:szCs w:val="12"/>
        </w:rPr>
        <w:t>F</w:t>
      </w:r>
      <w:r w:rsidR="00CF5BC9" w:rsidRPr="00CF2BCC">
        <w:rPr>
          <w:sz w:val="12"/>
          <w:szCs w:val="12"/>
        </w:rPr>
        <w:t xml:space="preserve">und. </w:t>
      </w:r>
      <w:r w:rsidRPr="00CF2BCC">
        <w:rPr>
          <w:sz w:val="12"/>
          <w:szCs w:val="12"/>
        </w:rPr>
        <w:t xml:space="preserve">Global Economic Outlook October 2024: </w:t>
      </w:r>
      <w:hyperlink r:id="rId4" w:history="1">
        <w:r w:rsidRPr="00CF2BCC">
          <w:rPr>
            <w:rStyle w:val="Hyperlink"/>
            <w:sz w:val="12"/>
            <w:szCs w:val="12"/>
          </w:rPr>
          <w:t>https://www.imf.org/en/Publications/WEO/Issues/2024/10/22/world-economic-outlook-october-2024</w:t>
        </w:r>
      </w:hyperlink>
      <w:r w:rsidRPr="00CF2BCC">
        <w:rPr>
          <w:sz w:val="12"/>
          <w:szCs w:val="12"/>
        </w:rPr>
        <w:t xml:space="preserve"> </w:t>
      </w:r>
    </w:p>
  </w:footnote>
  <w:footnote w:id="9">
    <w:p w14:paraId="7EF0F8C6" w14:textId="229BB13C" w:rsidR="00CE6E91" w:rsidRPr="00CF2BCC" w:rsidRDefault="00CE6E91">
      <w:pPr>
        <w:pStyle w:val="FootnoteText"/>
        <w:rPr>
          <w:sz w:val="12"/>
          <w:szCs w:val="12"/>
        </w:rPr>
      </w:pPr>
      <w:r w:rsidRPr="00CF2BCC">
        <w:rPr>
          <w:rStyle w:val="FootnoteReference"/>
          <w:sz w:val="12"/>
          <w:szCs w:val="12"/>
        </w:rPr>
        <w:footnoteRef/>
      </w:r>
      <w:r w:rsidRPr="00CF2BCC">
        <w:rPr>
          <w:sz w:val="12"/>
          <w:szCs w:val="12"/>
        </w:rPr>
        <w:t xml:space="preserve"> World Bank Group. 2022. Sustaining Small Business through the Pandemic in Kyrgyz Republic: </w:t>
      </w:r>
      <w:hyperlink r:id="rId5" w:history="1">
        <w:r w:rsidRPr="00CF2BCC">
          <w:rPr>
            <w:rStyle w:val="Hyperlink"/>
            <w:sz w:val="12"/>
            <w:szCs w:val="12"/>
          </w:rPr>
          <w:t>https://www.worldbank.org/en/news/feature/2022/05/06/sustaining-small-business-through-the-pandemic-in-kyrgyz-republic</w:t>
        </w:r>
      </w:hyperlink>
      <w:r w:rsidRPr="00CF2BCC">
        <w:rPr>
          <w:sz w:val="12"/>
          <w:szCs w:val="12"/>
        </w:rPr>
        <w:t xml:space="preserve"> </w:t>
      </w:r>
    </w:p>
  </w:footnote>
  <w:footnote w:id="10">
    <w:p w14:paraId="70EEAE72" w14:textId="078187E3" w:rsidR="00822A01" w:rsidRPr="00CF2BCC" w:rsidRDefault="00822A01">
      <w:pPr>
        <w:pStyle w:val="FootnoteText"/>
        <w:rPr>
          <w:sz w:val="12"/>
          <w:szCs w:val="12"/>
        </w:rPr>
      </w:pPr>
      <w:r w:rsidRPr="00CF2BCC">
        <w:rPr>
          <w:rStyle w:val="FootnoteReference"/>
          <w:sz w:val="12"/>
          <w:szCs w:val="12"/>
        </w:rPr>
        <w:footnoteRef/>
      </w:r>
      <w:r w:rsidRPr="00CF2BCC">
        <w:rPr>
          <w:sz w:val="12"/>
          <w:szCs w:val="12"/>
        </w:rPr>
        <w:t xml:space="preserve"> Calculated based on data of NSC: </w:t>
      </w:r>
      <w:hyperlink r:id="rId6" w:history="1">
        <w:r w:rsidRPr="00CF2BCC">
          <w:rPr>
            <w:rStyle w:val="Hyperlink"/>
            <w:sz w:val="12"/>
            <w:szCs w:val="12"/>
          </w:rPr>
          <w:t>https://stat.gov.kg/ru/statistics/nacionalnye-scheta/</w:t>
        </w:r>
      </w:hyperlink>
      <w:r w:rsidRPr="00CF2BCC">
        <w:rPr>
          <w:sz w:val="12"/>
          <w:szCs w:val="12"/>
        </w:rPr>
        <w:t xml:space="preserve"> </w:t>
      </w:r>
    </w:p>
  </w:footnote>
  <w:footnote w:id="11">
    <w:p w14:paraId="7242E2D4" w14:textId="2A0915C1" w:rsidR="00C2571A" w:rsidRPr="00CF2BCC" w:rsidRDefault="00C2571A">
      <w:pPr>
        <w:pStyle w:val="FootnoteText"/>
        <w:rPr>
          <w:sz w:val="12"/>
          <w:szCs w:val="12"/>
        </w:rPr>
      </w:pPr>
      <w:r w:rsidRPr="00CF2BCC">
        <w:rPr>
          <w:rStyle w:val="FootnoteReference"/>
          <w:sz w:val="12"/>
          <w:szCs w:val="12"/>
        </w:rPr>
        <w:footnoteRef/>
      </w:r>
      <w:r w:rsidRPr="00CF2BCC">
        <w:rPr>
          <w:sz w:val="12"/>
          <w:szCs w:val="12"/>
        </w:rPr>
        <w:t xml:space="preserve"> NSC: </w:t>
      </w:r>
      <w:hyperlink r:id="rId7" w:history="1">
        <w:r w:rsidRPr="00CF2BCC">
          <w:rPr>
            <w:rStyle w:val="Hyperlink"/>
            <w:sz w:val="12"/>
            <w:szCs w:val="12"/>
          </w:rPr>
          <w:t>https://stat.gov.kg/ru/publications/sbornik-turizm-v-kyrgyzstane/</w:t>
        </w:r>
      </w:hyperlink>
      <w:r w:rsidRPr="00CF2BCC">
        <w:rPr>
          <w:sz w:val="12"/>
          <w:szCs w:val="12"/>
        </w:rPr>
        <w:t xml:space="preserve"> </w:t>
      </w:r>
    </w:p>
  </w:footnote>
  <w:footnote w:id="12">
    <w:p w14:paraId="6D628115" w14:textId="4F16BD7E" w:rsidR="00822A01" w:rsidRPr="00CF2BCC" w:rsidRDefault="00822A01">
      <w:pPr>
        <w:pStyle w:val="FootnoteText"/>
        <w:rPr>
          <w:sz w:val="12"/>
          <w:szCs w:val="12"/>
        </w:rPr>
      </w:pPr>
      <w:r w:rsidRPr="00CF2BCC">
        <w:rPr>
          <w:rStyle w:val="FootnoteReference"/>
          <w:sz w:val="12"/>
          <w:szCs w:val="12"/>
        </w:rPr>
        <w:footnoteRef/>
      </w:r>
      <w:r w:rsidRPr="00CF2BCC">
        <w:rPr>
          <w:sz w:val="12"/>
          <w:szCs w:val="12"/>
        </w:rPr>
        <w:t xml:space="preserve"> Calculated based on data of NSC: </w:t>
      </w:r>
      <w:hyperlink r:id="rId8" w:history="1">
        <w:r w:rsidRPr="00CF2BCC">
          <w:rPr>
            <w:rStyle w:val="Hyperlink"/>
            <w:sz w:val="12"/>
            <w:szCs w:val="12"/>
          </w:rPr>
          <w:t>https://stat.gov.kg/ru/statistics/zanyatost/</w:t>
        </w:r>
      </w:hyperlink>
      <w:r w:rsidRPr="00CF2BCC">
        <w:rPr>
          <w:sz w:val="12"/>
          <w:szCs w:val="12"/>
        </w:rPr>
        <w:t xml:space="preserve"> </w:t>
      </w:r>
    </w:p>
  </w:footnote>
  <w:footnote w:id="13">
    <w:p w14:paraId="1FB02DBF" w14:textId="5F5FD739" w:rsidR="0076405E" w:rsidRPr="00CF2BCC" w:rsidRDefault="0076405E">
      <w:pPr>
        <w:pStyle w:val="FootnoteText"/>
        <w:rPr>
          <w:sz w:val="12"/>
          <w:szCs w:val="12"/>
        </w:rPr>
      </w:pPr>
      <w:r w:rsidRPr="00CF2BCC">
        <w:rPr>
          <w:rStyle w:val="FootnoteReference"/>
          <w:sz w:val="12"/>
          <w:szCs w:val="12"/>
        </w:rPr>
        <w:footnoteRef/>
      </w:r>
      <w:r w:rsidRPr="00CF2BCC">
        <w:rPr>
          <w:sz w:val="12"/>
          <w:szCs w:val="12"/>
        </w:rPr>
        <w:t xml:space="preserve"> UN in the Kyrgyz Republic. 2023. Common Country Analysis: </w:t>
      </w:r>
      <w:hyperlink r:id="rId9" w:history="1">
        <w:r w:rsidRPr="00CF2BCC">
          <w:rPr>
            <w:rStyle w:val="Hyperlink"/>
            <w:sz w:val="12"/>
            <w:szCs w:val="12"/>
          </w:rPr>
          <w:t>https://kyrgyzstan.un.org/sites/default/files/2024-04/ENG%20UN%20Common%20country%20analysis%20for%20the%20KG-2023.pdf</w:t>
        </w:r>
      </w:hyperlink>
      <w:r w:rsidRPr="00CF2BCC">
        <w:rPr>
          <w:sz w:val="12"/>
          <w:szCs w:val="12"/>
        </w:rPr>
        <w:t xml:space="preserve"> </w:t>
      </w:r>
    </w:p>
  </w:footnote>
  <w:footnote w:id="14">
    <w:p w14:paraId="0B33959A" w14:textId="699AC1A8" w:rsidR="00CD283E" w:rsidRPr="00CF2BCC" w:rsidRDefault="00CD283E">
      <w:pPr>
        <w:pStyle w:val="FootnoteText"/>
        <w:rPr>
          <w:rFonts w:cstheme="minorHAnsi"/>
          <w:sz w:val="12"/>
          <w:szCs w:val="12"/>
        </w:rPr>
      </w:pPr>
      <w:r w:rsidRPr="00CF2BCC">
        <w:rPr>
          <w:rStyle w:val="FootnoteReference"/>
          <w:rFonts w:cstheme="minorHAnsi"/>
          <w:sz w:val="12"/>
          <w:szCs w:val="12"/>
        </w:rPr>
        <w:footnoteRef/>
      </w:r>
      <w:r w:rsidRPr="00CF2BCC">
        <w:rPr>
          <w:rFonts w:cstheme="minorHAnsi"/>
          <w:sz w:val="12"/>
          <w:szCs w:val="12"/>
        </w:rPr>
        <w:t xml:space="preserve"> </w:t>
      </w:r>
      <w:proofErr w:type="spellStart"/>
      <w:r w:rsidRPr="00CF2BCC">
        <w:rPr>
          <w:rFonts w:cstheme="minorHAnsi"/>
          <w:color w:val="222222"/>
          <w:sz w:val="12"/>
          <w:szCs w:val="12"/>
          <w:shd w:val="clear" w:color="auto" w:fill="FFFFFF"/>
        </w:rPr>
        <w:t>Tilekeyev</w:t>
      </w:r>
      <w:proofErr w:type="spellEnd"/>
      <w:r w:rsidRPr="00CF2BCC">
        <w:rPr>
          <w:rFonts w:cstheme="minorHAnsi"/>
          <w:color w:val="222222"/>
          <w:sz w:val="12"/>
          <w:szCs w:val="12"/>
          <w:shd w:val="clear" w:color="auto" w:fill="FFFFFF"/>
        </w:rPr>
        <w:t>, K. (2019). </w:t>
      </w:r>
      <w:r w:rsidRPr="00CF2BCC">
        <w:rPr>
          <w:rFonts w:cstheme="minorHAnsi"/>
          <w:i/>
          <w:iCs/>
          <w:color w:val="222222"/>
          <w:sz w:val="12"/>
          <w:szCs w:val="12"/>
          <w:shd w:val="clear" w:color="auto" w:fill="FFFFFF"/>
        </w:rPr>
        <w:t>Leveraging SME finance through value chains in the CAREC landlocked economies: The case of the Kyrgyz Republic</w:t>
      </w:r>
      <w:r w:rsidRPr="00CF2BCC">
        <w:rPr>
          <w:rFonts w:cstheme="minorHAnsi"/>
          <w:color w:val="222222"/>
          <w:sz w:val="12"/>
          <w:szCs w:val="12"/>
          <w:shd w:val="clear" w:color="auto" w:fill="FFFFFF"/>
        </w:rPr>
        <w:t xml:space="preserve"> (No. 972). ADBI Working Paper Series. </w:t>
      </w:r>
      <w:hyperlink r:id="rId10" w:history="1">
        <w:r w:rsidRPr="00CF2BCC">
          <w:rPr>
            <w:rStyle w:val="Hyperlink"/>
            <w:rFonts w:cstheme="minorHAnsi"/>
            <w:sz w:val="12"/>
            <w:szCs w:val="12"/>
            <w:shd w:val="clear" w:color="auto" w:fill="FFFFFF"/>
          </w:rPr>
          <w:t>https://www.econstor.eu/bitstream/10419/222739/1/1668736993.pdf</w:t>
        </w:r>
      </w:hyperlink>
      <w:r w:rsidRPr="00CF2BCC">
        <w:rPr>
          <w:rFonts w:cstheme="minorHAnsi"/>
          <w:color w:val="222222"/>
          <w:sz w:val="12"/>
          <w:szCs w:val="12"/>
          <w:shd w:val="clear" w:color="auto" w:fill="FFFFFF"/>
        </w:rPr>
        <w:t xml:space="preserve"> </w:t>
      </w:r>
    </w:p>
  </w:footnote>
  <w:footnote w:id="15">
    <w:p w14:paraId="34F1D180" w14:textId="2845A900" w:rsidR="00533DF9" w:rsidRPr="00CF2BCC" w:rsidRDefault="00533DF9">
      <w:pPr>
        <w:pStyle w:val="FootnoteText"/>
        <w:rPr>
          <w:sz w:val="12"/>
          <w:szCs w:val="12"/>
        </w:rPr>
      </w:pPr>
      <w:r w:rsidRPr="00CF2BCC">
        <w:rPr>
          <w:rStyle w:val="FootnoteReference"/>
          <w:sz w:val="12"/>
          <w:szCs w:val="12"/>
        </w:rPr>
        <w:footnoteRef/>
      </w:r>
      <w:r w:rsidRPr="00CF2BCC">
        <w:rPr>
          <w:sz w:val="12"/>
          <w:szCs w:val="12"/>
        </w:rPr>
        <w:t xml:space="preserve"> Calculated based on data of NSC: </w:t>
      </w:r>
      <w:hyperlink r:id="rId11" w:history="1">
        <w:r w:rsidRPr="00CF2BCC">
          <w:rPr>
            <w:rStyle w:val="Hyperlink"/>
            <w:sz w:val="12"/>
            <w:szCs w:val="12"/>
          </w:rPr>
          <w:t>https://stat.gov.kg/ru/statistics/vneshneekonomicheskaya-deyatelnost/</w:t>
        </w:r>
      </w:hyperlink>
      <w:r w:rsidRPr="00CF2BCC">
        <w:rPr>
          <w:sz w:val="12"/>
          <w:szCs w:val="12"/>
        </w:rPr>
        <w:t xml:space="preserve"> </w:t>
      </w:r>
    </w:p>
  </w:footnote>
  <w:footnote w:id="16">
    <w:p w14:paraId="780C2C3A" w14:textId="1A1724FC" w:rsidR="00533DF9" w:rsidRPr="00CF2BCC" w:rsidRDefault="00533DF9">
      <w:pPr>
        <w:pStyle w:val="FootnoteText"/>
        <w:rPr>
          <w:sz w:val="12"/>
          <w:szCs w:val="12"/>
        </w:rPr>
      </w:pPr>
      <w:r w:rsidRPr="00CF2BCC">
        <w:rPr>
          <w:rStyle w:val="FootnoteReference"/>
          <w:sz w:val="12"/>
          <w:szCs w:val="12"/>
        </w:rPr>
        <w:footnoteRef/>
      </w:r>
      <w:r w:rsidRPr="00CF2BCC">
        <w:rPr>
          <w:sz w:val="12"/>
          <w:szCs w:val="12"/>
        </w:rPr>
        <w:t xml:space="preserve"> </w:t>
      </w:r>
      <w:r w:rsidR="00CF5BC9" w:rsidRPr="00CF2BCC">
        <w:rPr>
          <w:sz w:val="12"/>
          <w:szCs w:val="12"/>
        </w:rPr>
        <w:t xml:space="preserve">UN </w:t>
      </w:r>
      <w:r w:rsidRPr="00CF2BCC">
        <w:rPr>
          <w:sz w:val="12"/>
          <w:szCs w:val="12"/>
        </w:rPr>
        <w:t>W</w:t>
      </w:r>
      <w:r w:rsidR="00CF5BC9" w:rsidRPr="00CF2BCC">
        <w:rPr>
          <w:sz w:val="12"/>
          <w:szCs w:val="12"/>
        </w:rPr>
        <w:t xml:space="preserve">orld </w:t>
      </w:r>
      <w:r w:rsidRPr="00CF2BCC">
        <w:rPr>
          <w:sz w:val="12"/>
          <w:szCs w:val="12"/>
        </w:rPr>
        <w:t>F</w:t>
      </w:r>
      <w:r w:rsidR="00CF5BC9" w:rsidRPr="00CF2BCC">
        <w:rPr>
          <w:sz w:val="12"/>
          <w:szCs w:val="12"/>
        </w:rPr>
        <w:t xml:space="preserve">ood </w:t>
      </w:r>
      <w:r w:rsidRPr="00CF2BCC">
        <w:rPr>
          <w:sz w:val="12"/>
          <w:szCs w:val="12"/>
        </w:rPr>
        <w:t>P</w:t>
      </w:r>
      <w:r w:rsidR="00CF5BC9" w:rsidRPr="00CF2BCC">
        <w:rPr>
          <w:sz w:val="12"/>
          <w:szCs w:val="12"/>
        </w:rPr>
        <w:t>rogramme</w:t>
      </w:r>
      <w:r w:rsidRPr="00CF2BCC">
        <w:rPr>
          <w:sz w:val="12"/>
          <w:szCs w:val="12"/>
        </w:rPr>
        <w:t xml:space="preserve">: </w:t>
      </w:r>
      <w:hyperlink r:id="rId12" w:anchor=":~:text=Limited%20by%20Agriculture&amp;text=As%20a%20result%2C%20Kyrgyzstan%20depends,of%20their%20budgets%20on%20food" w:history="1">
        <w:r w:rsidRPr="00CF2BCC">
          <w:rPr>
            <w:rStyle w:val="Hyperlink"/>
            <w:sz w:val="12"/>
            <w:szCs w:val="12"/>
          </w:rPr>
          <w:t>https://www.wfpusa.org/countries/kyrgyzstan/#:~:text=Limited%20by%20Agriculture&amp;text=As%20a%20result%2C%20Kyrgyzstan%20depends,of%20their%20budgets%20on%20food</w:t>
        </w:r>
      </w:hyperlink>
      <w:r w:rsidRPr="00CF2BCC">
        <w:rPr>
          <w:sz w:val="12"/>
          <w:szCs w:val="12"/>
        </w:rPr>
        <w:t xml:space="preserve">. </w:t>
      </w:r>
    </w:p>
  </w:footnote>
  <w:footnote w:id="17">
    <w:p w14:paraId="4F2367DF" w14:textId="426BEF8A" w:rsidR="00EC3D1F" w:rsidRPr="00CF2BCC" w:rsidRDefault="00EC3D1F" w:rsidP="00EC3D1F">
      <w:pPr>
        <w:pStyle w:val="FootnoteText"/>
        <w:rPr>
          <w:sz w:val="12"/>
          <w:szCs w:val="12"/>
        </w:rPr>
      </w:pPr>
      <w:r w:rsidRPr="00CF2BCC">
        <w:rPr>
          <w:rStyle w:val="FootnoteReference"/>
          <w:sz w:val="12"/>
          <w:szCs w:val="12"/>
        </w:rPr>
        <w:footnoteRef/>
      </w:r>
      <w:r w:rsidRPr="00CF2BCC">
        <w:rPr>
          <w:sz w:val="12"/>
          <w:szCs w:val="12"/>
        </w:rPr>
        <w:t xml:space="preserve"> I</w:t>
      </w:r>
      <w:r w:rsidR="00CF5BC9" w:rsidRPr="00CF2BCC">
        <w:rPr>
          <w:sz w:val="12"/>
          <w:szCs w:val="12"/>
        </w:rPr>
        <w:t xml:space="preserve">nternational </w:t>
      </w:r>
      <w:r w:rsidRPr="00CF2BCC">
        <w:rPr>
          <w:sz w:val="12"/>
          <w:szCs w:val="12"/>
        </w:rPr>
        <w:t>O</w:t>
      </w:r>
      <w:r w:rsidR="00CF5BC9" w:rsidRPr="00CF2BCC">
        <w:rPr>
          <w:sz w:val="12"/>
          <w:szCs w:val="12"/>
        </w:rPr>
        <w:t xml:space="preserve">rganization for </w:t>
      </w:r>
      <w:r w:rsidRPr="00CF2BCC">
        <w:rPr>
          <w:sz w:val="12"/>
          <w:szCs w:val="12"/>
        </w:rPr>
        <w:t>M</w:t>
      </w:r>
      <w:r w:rsidR="00CF5BC9" w:rsidRPr="00CF2BCC">
        <w:rPr>
          <w:sz w:val="12"/>
          <w:szCs w:val="12"/>
        </w:rPr>
        <w:t>igration</w:t>
      </w:r>
      <w:r w:rsidRPr="00CF2BCC">
        <w:rPr>
          <w:sz w:val="12"/>
          <w:szCs w:val="12"/>
        </w:rPr>
        <w:t xml:space="preserve">. Migration Situation Report. Kyrgyzstan. December 2023: </w:t>
      </w:r>
      <w:hyperlink r:id="rId13" w:history="1">
        <w:r w:rsidRPr="00CF2BCC">
          <w:rPr>
            <w:rStyle w:val="Hyperlink"/>
            <w:sz w:val="12"/>
            <w:szCs w:val="12"/>
          </w:rPr>
          <w:t>https://kyrgyzstan.iom.int/sites/g/files/tmzbdl1321/files/documents/2024-04/compilation_report_dec_2023.pdf</w:t>
        </w:r>
      </w:hyperlink>
      <w:r w:rsidRPr="00CF2BCC">
        <w:rPr>
          <w:sz w:val="12"/>
          <w:szCs w:val="12"/>
        </w:rPr>
        <w:t xml:space="preserve"> </w:t>
      </w:r>
    </w:p>
  </w:footnote>
  <w:footnote w:id="18">
    <w:p w14:paraId="50C71298" w14:textId="1C9A0A47" w:rsidR="00B66226" w:rsidRPr="00CF2BCC" w:rsidRDefault="00B66226" w:rsidP="00B66226">
      <w:pPr>
        <w:pStyle w:val="FootnoteText"/>
        <w:rPr>
          <w:sz w:val="12"/>
          <w:szCs w:val="12"/>
        </w:rPr>
      </w:pPr>
      <w:r w:rsidRPr="00CF2BCC">
        <w:rPr>
          <w:rStyle w:val="FootnoteReference"/>
          <w:sz w:val="12"/>
          <w:szCs w:val="12"/>
        </w:rPr>
        <w:footnoteRef/>
      </w:r>
      <w:r w:rsidRPr="00CF2BCC">
        <w:rPr>
          <w:sz w:val="12"/>
          <w:szCs w:val="12"/>
        </w:rPr>
        <w:t xml:space="preserve"> Calculated based on data of</w:t>
      </w:r>
      <w:r w:rsidR="00060C50" w:rsidRPr="00CF2BCC">
        <w:rPr>
          <w:sz w:val="12"/>
          <w:szCs w:val="12"/>
        </w:rPr>
        <w:t xml:space="preserve"> NSC</w:t>
      </w:r>
      <w:r w:rsidRPr="00CF2BCC">
        <w:rPr>
          <w:sz w:val="12"/>
          <w:szCs w:val="12"/>
        </w:rPr>
        <w:t xml:space="preserve">: </w:t>
      </w:r>
      <w:hyperlink r:id="rId14" w:history="1">
        <w:r w:rsidRPr="00CF2BCC">
          <w:rPr>
            <w:rStyle w:val="Hyperlink"/>
            <w:sz w:val="12"/>
            <w:szCs w:val="12"/>
          </w:rPr>
          <w:t>https://stat.gov.kg/ru/statistics/naselenie/</w:t>
        </w:r>
      </w:hyperlink>
      <w:r w:rsidRPr="00CF2BCC">
        <w:rPr>
          <w:sz w:val="12"/>
          <w:szCs w:val="12"/>
        </w:rPr>
        <w:t xml:space="preserve"> </w:t>
      </w:r>
    </w:p>
  </w:footnote>
  <w:footnote w:id="19">
    <w:p w14:paraId="7D87C129" w14:textId="1FCF14E5" w:rsidR="00342CD4" w:rsidRPr="00CF2BCC" w:rsidRDefault="00342CD4">
      <w:pPr>
        <w:pStyle w:val="FootnoteText"/>
        <w:rPr>
          <w:sz w:val="12"/>
          <w:szCs w:val="12"/>
        </w:rPr>
      </w:pPr>
      <w:r w:rsidRPr="00CF2BCC">
        <w:rPr>
          <w:rStyle w:val="FootnoteReference"/>
          <w:sz w:val="12"/>
          <w:szCs w:val="12"/>
        </w:rPr>
        <w:footnoteRef/>
      </w:r>
      <w:r w:rsidRPr="00CF2BCC">
        <w:rPr>
          <w:sz w:val="12"/>
          <w:szCs w:val="12"/>
        </w:rPr>
        <w:t xml:space="preserve"> Calculated based on data of NSC: </w:t>
      </w:r>
      <w:hyperlink r:id="rId15" w:history="1">
        <w:r w:rsidRPr="00CF2BCC">
          <w:rPr>
            <w:rStyle w:val="Hyperlink"/>
            <w:sz w:val="12"/>
            <w:szCs w:val="12"/>
          </w:rPr>
          <w:t>https://stat.gov.kg/ru/statistics/naselenie/</w:t>
        </w:r>
      </w:hyperlink>
    </w:p>
  </w:footnote>
  <w:footnote w:id="20">
    <w:p w14:paraId="5861A5B5" w14:textId="004B6BFA" w:rsidR="007658B8" w:rsidRPr="00CF2BCC" w:rsidRDefault="007658B8">
      <w:pPr>
        <w:pStyle w:val="FootnoteText"/>
        <w:rPr>
          <w:sz w:val="12"/>
          <w:szCs w:val="12"/>
        </w:rPr>
      </w:pPr>
      <w:r w:rsidRPr="00CF2BCC">
        <w:rPr>
          <w:rStyle w:val="FootnoteReference"/>
          <w:sz w:val="12"/>
          <w:szCs w:val="12"/>
        </w:rPr>
        <w:footnoteRef/>
      </w:r>
      <w:r w:rsidRPr="00CF2BCC">
        <w:rPr>
          <w:sz w:val="12"/>
          <w:szCs w:val="12"/>
        </w:rPr>
        <w:t xml:space="preserve"> I</w:t>
      </w:r>
      <w:r w:rsidR="00CF5BC9" w:rsidRPr="00CF2BCC">
        <w:rPr>
          <w:sz w:val="12"/>
          <w:szCs w:val="12"/>
        </w:rPr>
        <w:t xml:space="preserve">nternational </w:t>
      </w:r>
      <w:r w:rsidRPr="00CF2BCC">
        <w:rPr>
          <w:sz w:val="12"/>
          <w:szCs w:val="12"/>
        </w:rPr>
        <w:t>O</w:t>
      </w:r>
      <w:r w:rsidR="00CF5BC9" w:rsidRPr="00CF2BCC">
        <w:rPr>
          <w:sz w:val="12"/>
          <w:szCs w:val="12"/>
        </w:rPr>
        <w:t xml:space="preserve">rganization for </w:t>
      </w:r>
      <w:r w:rsidRPr="00CF2BCC">
        <w:rPr>
          <w:sz w:val="12"/>
          <w:szCs w:val="12"/>
        </w:rPr>
        <w:t>M</w:t>
      </w:r>
      <w:r w:rsidR="00CF5BC9" w:rsidRPr="00CF2BCC">
        <w:rPr>
          <w:sz w:val="12"/>
          <w:szCs w:val="12"/>
        </w:rPr>
        <w:t>igration</w:t>
      </w:r>
      <w:r w:rsidRPr="00CF2BCC">
        <w:rPr>
          <w:sz w:val="12"/>
          <w:szCs w:val="12"/>
        </w:rPr>
        <w:t xml:space="preserve">. Migration Situation Report. Kyrgyzstan. December 2023: </w:t>
      </w:r>
      <w:hyperlink r:id="rId16" w:history="1">
        <w:r w:rsidRPr="00CF2BCC">
          <w:rPr>
            <w:rStyle w:val="Hyperlink"/>
            <w:sz w:val="12"/>
            <w:szCs w:val="12"/>
          </w:rPr>
          <w:t>https://kyrgyzstan.iom.int/sites/g/files/tmzbdl1321/files/documents/2024-04/compilation_report_dec_2023.pdf</w:t>
        </w:r>
      </w:hyperlink>
    </w:p>
  </w:footnote>
  <w:footnote w:id="21">
    <w:p w14:paraId="6F55D131" w14:textId="2B6A2DD0" w:rsidR="006378C1" w:rsidRPr="00CF2BCC" w:rsidRDefault="006378C1">
      <w:pPr>
        <w:pStyle w:val="FootnoteText"/>
        <w:rPr>
          <w:sz w:val="12"/>
          <w:szCs w:val="12"/>
        </w:rPr>
      </w:pPr>
      <w:r w:rsidRPr="00CF2BCC">
        <w:rPr>
          <w:rStyle w:val="FootnoteReference"/>
          <w:sz w:val="12"/>
          <w:szCs w:val="12"/>
        </w:rPr>
        <w:footnoteRef/>
      </w:r>
      <w:r w:rsidRPr="00CF2BCC">
        <w:rPr>
          <w:sz w:val="12"/>
          <w:szCs w:val="12"/>
        </w:rPr>
        <w:t xml:space="preserve"> Calculated based on data of NSC: </w:t>
      </w:r>
      <w:hyperlink r:id="rId17" w:history="1">
        <w:r w:rsidRPr="00CF2BCC">
          <w:rPr>
            <w:rStyle w:val="Hyperlink"/>
            <w:sz w:val="12"/>
            <w:szCs w:val="12"/>
          </w:rPr>
          <w:t>https://stat.gov.kg/ru/statistics/obrazovanie/</w:t>
        </w:r>
      </w:hyperlink>
      <w:r w:rsidRPr="00CF2BCC">
        <w:rPr>
          <w:sz w:val="12"/>
          <w:szCs w:val="12"/>
        </w:rPr>
        <w:t xml:space="preserve"> </w:t>
      </w:r>
    </w:p>
  </w:footnote>
  <w:footnote w:id="22">
    <w:p w14:paraId="6EAFA2B3" w14:textId="77777777" w:rsidR="00B556A1" w:rsidRPr="00CF2BCC" w:rsidRDefault="00B556A1" w:rsidP="00B556A1">
      <w:pPr>
        <w:pStyle w:val="FootnoteText"/>
        <w:rPr>
          <w:sz w:val="12"/>
          <w:szCs w:val="12"/>
        </w:rPr>
      </w:pPr>
      <w:r w:rsidRPr="00CF2BCC">
        <w:rPr>
          <w:rStyle w:val="FootnoteReference"/>
          <w:sz w:val="12"/>
          <w:szCs w:val="12"/>
        </w:rPr>
        <w:footnoteRef/>
      </w:r>
      <w:r w:rsidRPr="00CF2BCC">
        <w:rPr>
          <w:sz w:val="12"/>
          <w:szCs w:val="12"/>
        </w:rPr>
        <w:t xml:space="preserve"> NSC: </w:t>
      </w:r>
      <w:hyperlink r:id="rId18" w:history="1">
        <w:r w:rsidRPr="00CF2BCC">
          <w:rPr>
            <w:rStyle w:val="Hyperlink"/>
            <w:sz w:val="12"/>
            <w:szCs w:val="12"/>
          </w:rPr>
          <w:t>https://stat.gov.kg/ru/publications/uroven-bednosti-v-kyrgyzskoj-respublike/</w:t>
        </w:r>
      </w:hyperlink>
      <w:r w:rsidRPr="00CF2BCC">
        <w:rPr>
          <w:sz w:val="12"/>
          <w:szCs w:val="12"/>
        </w:rPr>
        <w:t xml:space="preserve"> </w:t>
      </w:r>
    </w:p>
  </w:footnote>
  <w:footnote w:id="23">
    <w:p w14:paraId="3F571663" w14:textId="1EBE29C1" w:rsidR="00B556A1" w:rsidRPr="00CF2BCC" w:rsidRDefault="00B556A1" w:rsidP="00B556A1">
      <w:pPr>
        <w:pStyle w:val="FootnoteText"/>
        <w:rPr>
          <w:sz w:val="12"/>
          <w:szCs w:val="12"/>
        </w:rPr>
      </w:pPr>
      <w:r w:rsidRPr="00CF2BCC">
        <w:rPr>
          <w:rStyle w:val="FootnoteReference"/>
          <w:sz w:val="12"/>
          <w:szCs w:val="12"/>
        </w:rPr>
        <w:footnoteRef/>
      </w:r>
      <w:r w:rsidRPr="00CF2BCC">
        <w:rPr>
          <w:sz w:val="12"/>
          <w:szCs w:val="12"/>
        </w:rPr>
        <w:t xml:space="preserve"> I</w:t>
      </w:r>
      <w:r w:rsidR="00CF5BC9" w:rsidRPr="00CF2BCC">
        <w:rPr>
          <w:sz w:val="12"/>
          <w:szCs w:val="12"/>
        </w:rPr>
        <w:t xml:space="preserve">nternational </w:t>
      </w:r>
      <w:r w:rsidRPr="00CF2BCC">
        <w:rPr>
          <w:sz w:val="12"/>
          <w:szCs w:val="12"/>
        </w:rPr>
        <w:t>M</w:t>
      </w:r>
      <w:r w:rsidR="00CF5BC9" w:rsidRPr="00CF2BCC">
        <w:rPr>
          <w:sz w:val="12"/>
          <w:szCs w:val="12"/>
        </w:rPr>
        <w:t xml:space="preserve">onetary </w:t>
      </w:r>
      <w:r w:rsidRPr="00CF2BCC">
        <w:rPr>
          <w:sz w:val="12"/>
          <w:szCs w:val="12"/>
        </w:rPr>
        <w:t>F</w:t>
      </w:r>
      <w:r w:rsidR="00CF5BC9" w:rsidRPr="00CF2BCC">
        <w:rPr>
          <w:sz w:val="12"/>
          <w:szCs w:val="12"/>
        </w:rPr>
        <w:t>und</w:t>
      </w:r>
      <w:r w:rsidRPr="00CF2BCC">
        <w:rPr>
          <w:sz w:val="12"/>
          <w:szCs w:val="12"/>
        </w:rPr>
        <w:t xml:space="preserve">: </w:t>
      </w:r>
      <w:hyperlink r:id="rId19" w:history="1">
        <w:r w:rsidRPr="00CF2BCC">
          <w:rPr>
            <w:rStyle w:val="Hyperlink"/>
            <w:sz w:val="12"/>
            <w:szCs w:val="12"/>
          </w:rPr>
          <w:t>https://www.elibrary.imf.org/view/journals/002/2023/092/article-A003-en.xml</w:t>
        </w:r>
      </w:hyperlink>
      <w:r w:rsidRPr="00CF2BCC">
        <w:rPr>
          <w:sz w:val="12"/>
          <w:szCs w:val="12"/>
        </w:rPr>
        <w:t xml:space="preserve"> </w:t>
      </w:r>
    </w:p>
  </w:footnote>
  <w:footnote w:id="24">
    <w:p w14:paraId="21452918" w14:textId="69F8FF09" w:rsidR="00553691" w:rsidRPr="00786BA3" w:rsidRDefault="00553691">
      <w:pPr>
        <w:pStyle w:val="FootnoteText"/>
        <w:rPr>
          <w:sz w:val="12"/>
          <w:szCs w:val="12"/>
        </w:rPr>
      </w:pPr>
      <w:r w:rsidRPr="00CF2BCC">
        <w:rPr>
          <w:rStyle w:val="FootnoteReference"/>
          <w:sz w:val="12"/>
          <w:szCs w:val="12"/>
        </w:rPr>
        <w:footnoteRef/>
      </w:r>
      <w:r w:rsidRPr="00CF2BCC">
        <w:rPr>
          <w:sz w:val="12"/>
          <w:szCs w:val="12"/>
        </w:rPr>
        <w:t xml:space="preserve"> Price Monitoring for Food Security in the Kyrgyz Republic, Issue # 82 | 02 August 2024: </w:t>
      </w:r>
      <w:hyperlink r:id="rId20" w:history="1">
        <w:r w:rsidRPr="00CF2BCC">
          <w:rPr>
            <w:rStyle w:val="Hyperlink"/>
            <w:sz w:val="12"/>
            <w:szCs w:val="12"/>
          </w:rPr>
          <w:t>https://reliefweb.int/report/kyrgyzstan/price-monitoring-food-security-kyrgyz-republic-issue-82-02-august-2024</w:t>
        </w:r>
      </w:hyperlink>
      <w:r w:rsidRPr="00786BA3">
        <w:rPr>
          <w:sz w:val="12"/>
          <w:szCs w:val="12"/>
        </w:rPr>
        <w:t xml:space="preserve"> </w:t>
      </w:r>
    </w:p>
  </w:footnote>
  <w:footnote w:id="25">
    <w:p w14:paraId="4282C960" w14:textId="28C3CF45" w:rsidR="00051773" w:rsidRPr="00661D84" w:rsidRDefault="00051773">
      <w:pPr>
        <w:pStyle w:val="FootnoteText"/>
        <w:rPr>
          <w:sz w:val="12"/>
          <w:szCs w:val="12"/>
        </w:rPr>
      </w:pPr>
      <w:r w:rsidRPr="00661D84">
        <w:rPr>
          <w:rStyle w:val="FootnoteReference"/>
          <w:sz w:val="12"/>
          <w:szCs w:val="12"/>
        </w:rPr>
        <w:footnoteRef/>
      </w:r>
      <w:r w:rsidRPr="00661D84">
        <w:rPr>
          <w:sz w:val="12"/>
          <w:szCs w:val="12"/>
        </w:rPr>
        <w:t xml:space="preserve"> 2024 Global Multidimensional Poverty Index (MPI): </w:t>
      </w:r>
      <w:hyperlink r:id="rId21" w:anchor="/indicies/MPI" w:history="1">
        <w:r w:rsidRPr="00661D84">
          <w:rPr>
            <w:rStyle w:val="Hyperlink"/>
            <w:sz w:val="12"/>
            <w:szCs w:val="12"/>
          </w:rPr>
          <w:t>https://hdr.undp.org/content/2024-global-multidimensional-poverty-index-mpi#/indicies/MPI</w:t>
        </w:r>
      </w:hyperlink>
      <w:r w:rsidRPr="00661D84">
        <w:rPr>
          <w:sz w:val="12"/>
          <w:szCs w:val="12"/>
        </w:rPr>
        <w:t xml:space="preserve"> </w:t>
      </w:r>
    </w:p>
  </w:footnote>
  <w:footnote w:id="26">
    <w:p w14:paraId="72C6391B" w14:textId="282B006E" w:rsidR="001C1C98" w:rsidRPr="00661D84" w:rsidRDefault="001C1C98">
      <w:pPr>
        <w:pStyle w:val="FootnoteText"/>
        <w:rPr>
          <w:sz w:val="12"/>
          <w:szCs w:val="12"/>
        </w:rPr>
      </w:pPr>
      <w:r w:rsidRPr="00661D84">
        <w:rPr>
          <w:rStyle w:val="FootnoteReference"/>
          <w:sz w:val="12"/>
          <w:szCs w:val="12"/>
        </w:rPr>
        <w:footnoteRef/>
      </w:r>
      <w:r w:rsidRPr="00661D84">
        <w:rPr>
          <w:sz w:val="12"/>
          <w:szCs w:val="12"/>
        </w:rPr>
        <w:t xml:space="preserve"> Calculated based on data of NSC: </w:t>
      </w:r>
      <w:hyperlink r:id="rId22" w:history="1">
        <w:r w:rsidRPr="00661D84">
          <w:rPr>
            <w:rStyle w:val="Hyperlink"/>
            <w:sz w:val="12"/>
            <w:szCs w:val="12"/>
          </w:rPr>
          <w:t>https://stat.gov.kg/ru/statistics/zanyatost/</w:t>
        </w:r>
      </w:hyperlink>
      <w:r w:rsidRPr="00661D84">
        <w:rPr>
          <w:sz w:val="12"/>
          <w:szCs w:val="12"/>
        </w:rPr>
        <w:t xml:space="preserve"> </w:t>
      </w:r>
    </w:p>
  </w:footnote>
  <w:footnote w:id="27">
    <w:p w14:paraId="50A1784F" w14:textId="243CB080" w:rsidR="002E1AE3" w:rsidRPr="00661D84" w:rsidRDefault="002E1AE3">
      <w:pPr>
        <w:pStyle w:val="FootnoteText"/>
        <w:rPr>
          <w:sz w:val="12"/>
          <w:szCs w:val="12"/>
        </w:rPr>
      </w:pPr>
      <w:r w:rsidRPr="00661D84">
        <w:rPr>
          <w:rStyle w:val="FootnoteReference"/>
          <w:sz w:val="12"/>
          <w:szCs w:val="12"/>
        </w:rPr>
        <w:footnoteRef/>
      </w:r>
      <w:r w:rsidRPr="00661D84">
        <w:rPr>
          <w:sz w:val="12"/>
          <w:szCs w:val="12"/>
        </w:rPr>
        <w:t xml:space="preserve"> Calculated based on data of NSC: </w:t>
      </w:r>
      <w:hyperlink r:id="rId23" w:history="1">
        <w:r w:rsidRPr="00661D84">
          <w:rPr>
            <w:rStyle w:val="Hyperlink"/>
            <w:sz w:val="12"/>
            <w:szCs w:val="12"/>
          </w:rPr>
          <w:t>https://stat.gov.kg/ru/opendata/category/332/</w:t>
        </w:r>
      </w:hyperlink>
      <w:r w:rsidRPr="00661D84">
        <w:rPr>
          <w:sz w:val="12"/>
          <w:szCs w:val="12"/>
        </w:rPr>
        <w:t xml:space="preserve"> </w:t>
      </w:r>
    </w:p>
  </w:footnote>
  <w:footnote w:id="28">
    <w:p w14:paraId="4E72F159" w14:textId="47185820" w:rsidR="009C291A" w:rsidRPr="00661D84" w:rsidRDefault="009C291A">
      <w:pPr>
        <w:pStyle w:val="FootnoteText"/>
        <w:rPr>
          <w:sz w:val="12"/>
          <w:szCs w:val="12"/>
        </w:rPr>
      </w:pPr>
      <w:r w:rsidRPr="00661D84">
        <w:rPr>
          <w:rStyle w:val="FootnoteReference"/>
          <w:sz w:val="12"/>
          <w:szCs w:val="12"/>
        </w:rPr>
        <w:footnoteRef/>
      </w:r>
      <w:r w:rsidRPr="00661D84">
        <w:rPr>
          <w:sz w:val="12"/>
          <w:szCs w:val="12"/>
        </w:rPr>
        <w:t xml:space="preserve"> UNECE and UN Women. 2021. Childcare, women’s employment and COVID-19 impacts and response in the Kyrgyz Republic: </w:t>
      </w:r>
      <w:hyperlink r:id="rId24" w:history="1">
        <w:r w:rsidRPr="00661D84">
          <w:rPr>
            <w:rStyle w:val="Hyperlink"/>
            <w:sz w:val="12"/>
            <w:szCs w:val="12"/>
          </w:rPr>
          <w:t>https://unece.org/sites/default/files/2021-11/Childcare_WE_Covid-19_Kyrgyzstan_en.pdf</w:t>
        </w:r>
      </w:hyperlink>
      <w:r w:rsidRPr="00661D84">
        <w:rPr>
          <w:sz w:val="12"/>
          <w:szCs w:val="12"/>
        </w:rPr>
        <w:t xml:space="preserve"> </w:t>
      </w:r>
    </w:p>
  </w:footnote>
  <w:footnote w:id="29">
    <w:p w14:paraId="2ABA6F93" w14:textId="77777777" w:rsidR="00DC17A8" w:rsidRPr="00661D84" w:rsidRDefault="00DC17A8" w:rsidP="00DC17A8">
      <w:pPr>
        <w:pStyle w:val="FootnoteText"/>
        <w:rPr>
          <w:sz w:val="12"/>
          <w:szCs w:val="12"/>
        </w:rPr>
      </w:pPr>
      <w:r w:rsidRPr="00661D84">
        <w:rPr>
          <w:rStyle w:val="FootnoteReference"/>
          <w:sz w:val="12"/>
          <w:szCs w:val="12"/>
        </w:rPr>
        <w:footnoteRef/>
      </w:r>
      <w:r w:rsidRPr="00661D84">
        <w:rPr>
          <w:sz w:val="12"/>
          <w:szCs w:val="12"/>
        </w:rPr>
        <w:t xml:space="preserve"> </w:t>
      </w:r>
      <w:proofErr w:type="spellStart"/>
      <w:r w:rsidRPr="00661D84">
        <w:rPr>
          <w:sz w:val="12"/>
          <w:szCs w:val="12"/>
        </w:rPr>
        <w:t>Kadyrberdieva</w:t>
      </w:r>
      <w:proofErr w:type="spellEnd"/>
      <w:r w:rsidRPr="00661D84">
        <w:rPr>
          <w:sz w:val="12"/>
          <w:szCs w:val="12"/>
        </w:rPr>
        <w:t xml:space="preserve"> L., Solovyeva A., and Poghosyan T.2023. </w:t>
      </w:r>
      <w:hyperlink r:id="rId25" w:history="1">
        <w:r w:rsidRPr="00661D84">
          <w:rPr>
            <w:rStyle w:val="Hyperlink"/>
            <w:sz w:val="12"/>
            <w:szCs w:val="12"/>
          </w:rPr>
          <w:t>https://www.elibrary.imf.org/downloadpdf/journals/002/2023/092/article-A002-en.xml</w:t>
        </w:r>
      </w:hyperlink>
      <w:r w:rsidRPr="00661D84">
        <w:rPr>
          <w:sz w:val="12"/>
          <w:szCs w:val="12"/>
        </w:rPr>
        <w:t xml:space="preserve"> </w:t>
      </w:r>
    </w:p>
  </w:footnote>
  <w:footnote w:id="30">
    <w:p w14:paraId="78E9BC56" w14:textId="1BD1FA37" w:rsidR="00BE33E8" w:rsidRPr="00661D84" w:rsidRDefault="00BE33E8">
      <w:pPr>
        <w:pStyle w:val="FootnoteText"/>
        <w:rPr>
          <w:sz w:val="12"/>
          <w:szCs w:val="12"/>
        </w:rPr>
      </w:pPr>
      <w:r w:rsidRPr="00661D84">
        <w:rPr>
          <w:rStyle w:val="FootnoteReference"/>
          <w:sz w:val="12"/>
          <w:szCs w:val="12"/>
        </w:rPr>
        <w:footnoteRef/>
      </w:r>
      <w:r w:rsidRPr="00661D84">
        <w:rPr>
          <w:sz w:val="12"/>
          <w:szCs w:val="12"/>
        </w:rPr>
        <w:t xml:space="preserve"> UN in the Kyrgyz Republic. 2023. Common Country Analysis: </w:t>
      </w:r>
      <w:hyperlink r:id="rId26" w:history="1">
        <w:r w:rsidRPr="00661D84">
          <w:rPr>
            <w:rStyle w:val="Hyperlink"/>
            <w:sz w:val="12"/>
            <w:szCs w:val="12"/>
          </w:rPr>
          <w:t>https://kyrgyzstan.un.org/sites/default/files/2024-04/ENG%20UN%20Common%20country%20analysis%20for%20the%20KG-2023.pdf</w:t>
        </w:r>
      </w:hyperlink>
    </w:p>
  </w:footnote>
  <w:footnote w:id="31">
    <w:p w14:paraId="3FA73615" w14:textId="2325517D" w:rsidR="009949DA" w:rsidRPr="005B6C42" w:rsidRDefault="009949DA" w:rsidP="009949DA">
      <w:pPr>
        <w:pStyle w:val="FootnoteText"/>
        <w:rPr>
          <w:sz w:val="14"/>
          <w:szCs w:val="14"/>
        </w:rPr>
      </w:pPr>
      <w:r w:rsidRPr="00661D84">
        <w:rPr>
          <w:rStyle w:val="FootnoteReference"/>
          <w:sz w:val="12"/>
          <w:szCs w:val="12"/>
        </w:rPr>
        <w:footnoteRef/>
      </w:r>
      <w:r w:rsidRPr="00661D84">
        <w:rPr>
          <w:sz w:val="12"/>
          <w:szCs w:val="12"/>
        </w:rPr>
        <w:t xml:space="preserve"> </w:t>
      </w:r>
      <w:r w:rsidR="00896C6C" w:rsidRPr="00661D84">
        <w:rPr>
          <w:sz w:val="12"/>
          <w:szCs w:val="12"/>
        </w:rPr>
        <w:t xml:space="preserve">The World Bank Group and Asian Development Bank. 2021. </w:t>
      </w:r>
      <w:r w:rsidRPr="00661D84">
        <w:rPr>
          <w:sz w:val="12"/>
          <w:szCs w:val="12"/>
        </w:rPr>
        <w:t xml:space="preserve">Climate Risk Profile: Kyrgyz Republic: </w:t>
      </w:r>
      <w:hyperlink r:id="rId27" w:history="1">
        <w:r w:rsidRPr="00661D84">
          <w:rPr>
            <w:rStyle w:val="Hyperlink"/>
            <w:sz w:val="12"/>
            <w:szCs w:val="12"/>
          </w:rPr>
          <w:t>https://climateknowledgeportal.worldbank.org/sites/default/files/country-profiles/17036-WB_Kyrgyz-Republic-Country-Profile-WEB.pdf</w:t>
        </w:r>
      </w:hyperlink>
    </w:p>
  </w:footnote>
  <w:footnote w:id="32">
    <w:p w14:paraId="0427D2D1" w14:textId="6AE894F3" w:rsidR="005F05FF" w:rsidRPr="00661D84" w:rsidRDefault="005F05FF">
      <w:pPr>
        <w:pStyle w:val="FootnoteText"/>
        <w:rPr>
          <w:sz w:val="12"/>
          <w:szCs w:val="12"/>
        </w:rPr>
      </w:pPr>
      <w:r w:rsidRPr="00661D84">
        <w:rPr>
          <w:rStyle w:val="FootnoteReference"/>
          <w:sz w:val="12"/>
          <w:szCs w:val="12"/>
        </w:rPr>
        <w:footnoteRef/>
      </w:r>
      <w:r w:rsidRPr="00661D84">
        <w:rPr>
          <w:sz w:val="12"/>
          <w:szCs w:val="12"/>
        </w:rPr>
        <w:t xml:space="preserve"> Climate Change Analysis for the USAID/Kyrgyz Republic 2020-2024 CDCS: </w:t>
      </w:r>
      <w:hyperlink r:id="rId28" w:history="1">
        <w:r w:rsidRPr="00661D84">
          <w:rPr>
            <w:rStyle w:val="Hyperlink"/>
            <w:sz w:val="12"/>
            <w:szCs w:val="12"/>
          </w:rPr>
          <w:t>https://www.climatelinks.org/sites/default/files/asset/document/2021-07/2021_USAID_CDCS-Annex-Kyrgyz-Republic.pdf</w:t>
        </w:r>
      </w:hyperlink>
      <w:r w:rsidRPr="00661D84">
        <w:rPr>
          <w:sz w:val="12"/>
          <w:szCs w:val="12"/>
        </w:rPr>
        <w:t xml:space="preserve"> </w:t>
      </w:r>
    </w:p>
  </w:footnote>
  <w:footnote w:id="33">
    <w:p w14:paraId="5254F8E4" w14:textId="77777777" w:rsidR="00313E34" w:rsidRPr="00661D84" w:rsidRDefault="00313E34" w:rsidP="00313E34">
      <w:pPr>
        <w:pStyle w:val="FootnoteText"/>
        <w:rPr>
          <w:sz w:val="12"/>
          <w:szCs w:val="12"/>
        </w:rPr>
      </w:pPr>
      <w:r w:rsidRPr="00661D84">
        <w:rPr>
          <w:rStyle w:val="FootnoteReference"/>
          <w:sz w:val="12"/>
          <w:szCs w:val="12"/>
        </w:rPr>
        <w:footnoteRef/>
      </w:r>
      <w:r w:rsidRPr="00661D84">
        <w:rPr>
          <w:sz w:val="12"/>
          <w:szCs w:val="12"/>
        </w:rPr>
        <w:t xml:space="preserve"> Climate Risk Profile: Kyrgyz Republic (2021): The World Bank Group and Asian</w:t>
      </w:r>
    </w:p>
    <w:p w14:paraId="6B972E15" w14:textId="187195CF" w:rsidR="00313E34" w:rsidRPr="00661D84" w:rsidRDefault="00313E34" w:rsidP="00313E34">
      <w:pPr>
        <w:pStyle w:val="FootnoteText"/>
        <w:rPr>
          <w:sz w:val="12"/>
          <w:szCs w:val="12"/>
        </w:rPr>
      </w:pPr>
      <w:r w:rsidRPr="00661D84">
        <w:rPr>
          <w:sz w:val="12"/>
          <w:szCs w:val="12"/>
        </w:rPr>
        <w:t xml:space="preserve">Development Bank: </w:t>
      </w:r>
      <w:hyperlink r:id="rId29" w:history="1">
        <w:r w:rsidRPr="00661D84">
          <w:rPr>
            <w:rStyle w:val="Hyperlink"/>
            <w:sz w:val="12"/>
            <w:szCs w:val="12"/>
          </w:rPr>
          <w:t>https://climateknowledgeportal.worldbank.org/sites/default/files/country-profiles/17036-WB_Kyrgyz-Republic-Country-Profile-WEB.pdf</w:t>
        </w:r>
      </w:hyperlink>
      <w:r w:rsidRPr="00661D84">
        <w:rPr>
          <w:sz w:val="12"/>
          <w:szCs w:val="12"/>
        </w:rPr>
        <w:t xml:space="preserve"> </w:t>
      </w:r>
    </w:p>
  </w:footnote>
  <w:footnote w:id="34">
    <w:p w14:paraId="37E1C1FA" w14:textId="55040F4C" w:rsidR="006055EA" w:rsidRPr="00661D84" w:rsidRDefault="006055EA">
      <w:pPr>
        <w:pStyle w:val="FootnoteText"/>
        <w:rPr>
          <w:sz w:val="12"/>
          <w:szCs w:val="12"/>
        </w:rPr>
      </w:pPr>
      <w:r w:rsidRPr="00661D84">
        <w:rPr>
          <w:rStyle w:val="FootnoteReference"/>
          <w:sz w:val="12"/>
          <w:szCs w:val="12"/>
        </w:rPr>
        <w:footnoteRef/>
      </w:r>
      <w:r w:rsidRPr="00661D84">
        <w:rPr>
          <w:sz w:val="12"/>
          <w:szCs w:val="12"/>
        </w:rPr>
        <w:t xml:space="preserve"> World Bank Group. Climate Change Knowledge Portal. </w:t>
      </w:r>
      <w:hyperlink r:id="rId30" w:history="1">
        <w:r w:rsidRPr="00661D84">
          <w:rPr>
            <w:rStyle w:val="Hyperlink"/>
            <w:sz w:val="12"/>
            <w:szCs w:val="12"/>
          </w:rPr>
          <w:t>https://climateknowledgeportal.worldbank.org/country/kyrgyz-republic/vulnerability</w:t>
        </w:r>
      </w:hyperlink>
      <w:r w:rsidRPr="00661D84">
        <w:rPr>
          <w:sz w:val="12"/>
          <w:szCs w:val="12"/>
        </w:rPr>
        <w:t xml:space="preserve"> </w:t>
      </w:r>
    </w:p>
  </w:footnote>
  <w:footnote w:id="35">
    <w:p w14:paraId="73125668" w14:textId="10A2E7FB" w:rsidR="00721A75" w:rsidRPr="00661D84" w:rsidRDefault="00721A75">
      <w:pPr>
        <w:pStyle w:val="FootnoteText"/>
        <w:rPr>
          <w:sz w:val="12"/>
          <w:szCs w:val="12"/>
        </w:rPr>
      </w:pPr>
      <w:r w:rsidRPr="00661D84">
        <w:rPr>
          <w:rStyle w:val="FootnoteReference"/>
          <w:sz w:val="12"/>
          <w:szCs w:val="12"/>
        </w:rPr>
        <w:footnoteRef/>
      </w:r>
      <w:r w:rsidRPr="00661D84">
        <w:rPr>
          <w:sz w:val="12"/>
          <w:szCs w:val="12"/>
        </w:rPr>
        <w:t xml:space="preserve"> UN in the Kyrgyz Republic. 2023. Common Country Analysis (draft).</w:t>
      </w:r>
    </w:p>
  </w:footnote>
  <w:footnote w:id="36">
    <w:p w14:paraId="790741B3" w14:textId="71253001" w:rsidR="009059A7" w:rsidRPr="00661D84" w:rsidRDefault="009059A7" w:rsidP="009059A7">
      <w:pPr>
        <w:pStyle w:val="FootnoteText"/>
        <w:rPr>
          <w:sz w:val="12"/>
          <w:szCs w:val="12"/>
        </w:rPr>
      </w:pPr>
      <w:r w:rsidRPr="00661D84">
        <w:rPr>
          <w:rStyle w:val="FootnoteReference"/>
          <w:sz w:val="12"/>
          <w:szCs w:val="12"/>
        </w:rPr>
        <w:footnoteRef/>
      </w:r>
      <w:r w:rsidRPr="00661D84">
        <w:rPr>
          <w:sz w:val="12"/>
          <w:szCs w:val="12"/>
        </w:rPr>
        <w:t xml:space="preserve"> Updated Nationally Determined Contribution 2021 Kyrgyzstan: </w:t>
      </w:r>
      <w:hyperlink r:id="rId31" w:history="1">
        <w:r w:rsidRPr="00661D84">
          <w:rPr>
            <w:rStyle w:val="Hyperlink"/>
            <w:sz w:val="12"/>
            <w:szCs w:val="12"/>
          </w:rPr>
          <w:t>https://unfccc.int/sites/default/files/NDC/2022-06/%D0%9E%D0%9D%D0%A3%D0%92%20ENG%20%D0%BE%D1%82%2008102021.pdf</w:t>
        </w:r>
      </w:hyperlink>
      <w:r w:rsidRPr="00661D84">
        <w:rPr>
          <w:sz w:val="12"/>
          <w:szCs w:val="12"/>
        </w:rPr>
        <w:t xml:space="preserve"> </w:t>
      </w:r>
    </w:p>
  </w:footnote>
  <w:footnote w:id="37">
    <w:p w14:paraId="796EC4C0" w14:textId="784F5C73" w:rsidR="00222191" w:rsidRPr="00661D84" w:rsidRDefault="00222191">
      <w:pPr>
        <w:pStyle w:val="FootnoteText"/>
        <w:rPr>
          <w:sz w:val="12"/>
          <w:szCs w:val="12"/>
        </w:rPr>
      </w:pPr>
      <w:r w:rsidRPr="00661D84">
        <w:rPr>
          <w:rStyle w:val="FootnoteReference"/>
          <w:sz w:val="12"/>
          <w:szCs w:val="12"/>
        </w:rPr>
        <w:footnoteRef/>
      </w:r>
      <w:r w:rsidRPr="00661D84">
        <w:rPr>
          <w:sz w:val="12"/>
          <w:szCs w:val="12"/>
        </w:rPr>
        <w:t xml:space="preserve"> WFP. 2015. Two minutes on climate change and hunger: A zero hunger world needs climate resilience. The World Food Programme. </w:t>
      </w:r>
      <w:hyperlink r:id="rId32" w:history="1">
        <w:r w:rsidRPr="00661D84">
          <w:rPr>
            <w:rStyle w:val="Hyperlink"/>
            <w:sz w:val="12"/>
            <w:szCs w:val="12"/>
          </w:rPr>
          <w:t>https://docs.wfp.org/api/documents/WFP-0000009143/download/</w:t>
        </w:r>
      </w:hyperlink>
      <w:r w:rsidRPr="00661D84">
        <w:rPr>
          <w:sz w:val="12"/>
          <w:szCs w:val="12"/>
        </w:rPr>
        <w:t xml:space="preserve"> </w:t>
      </w:r>
    </w:p>
  </w:footnote>
  <w:footnote w:id="38">
    <w:p w14:paraId="54187DFD" w14:textId="24361D30" w:rsidR="009B6610" w:rsidRPr="00661D84" w:rsidRDefault="009B6610">
      <w:pPr>
        <w:pStyle w:val="FootnoteText"/>
        <w:rPr>
          <w:sz w:val="12"/>
          <w:szCs w:val="12"/>
        </w:rPr>
      </w:pPr>
      <w:r w:rsidRPr="00661D84">
        <w:rPr>
          <w:rStyle w:val="FootnoteReference"/>
          <w:sz w:val="12"/>
          <w:szCs w:val="12"/>
        </w:rPr>
        <w:footnoteRef/>
      </w:r>
      <w:r w:rsidRPr="009538B0">
        <w:rPr>
          <w:sz w:val="12"/>
          <w:szCs w:val="12"/>
          <w:lang w:val="fr-BE"/>
        </w:rPr>
        <w:t xml:space="preserve"> Li, Z., Chen, Y., Li, W., Deng, H., &amp; Fang, G. 2015. </w:t>
      </w:r>
      <w:r w:rsidRPr="00661D84">
        <w:rPr>
          <w:sz w:val="12"/>
          <w:szCs w:val="12"/>
        </w:rPr>
        <w:t>Potential impacts of climate change on vegetation dynamics in Central Asia. Journal of Geophysical Research: Atmospheres, 120(24), 12345–12356.</w:t>
      </w:r>
    </w:p>
  </w:footnote>
  <w:footnote w:id="39">
    <w:p w14:paraId="23DFE251" w14:textId="1EBBB9D4" w:rsidR="00064B27" w:rsidRPr="00661D84" w:rsidRDefault="00064B27">
      <w:pPr>
        <w:pStyle w:val="FootnoteText"/>
        <w:rPr>
          <w:sz w:val="12"/>
          <w:szCs w:val="12"/>
        </w:rPr>
      </w:pPr>
      <w:r w:rsidRPr="00661D84">
        <w:rPr>
          <w:rStyle w:val="FootnoteReference"/>
          <w:sz w:val="12"/>
          <w:szCs w:val="12"/>
        </w:rPr>
        <w:footnoteRef/>
      </w:r>
      <w:r w:rsidRPr="00661D84">
        <w:rPr>
          <w:sz w:val="12"/>
          <w:szCs w:val="12"/>
        </w:rPr>
        <w:t xml:space="preserve"> Zhou, Y., Zhang, L., Fensholt, R., Wang, K., </w:t>
      </w:r>
      <w:proofErr w:type="spellStart"/>
      <w:r w:rsidRPr="00661D84">
        <w:rPr>
          <w:sz w:val="12"/>
          <w:szCs w:val="12"/>
        </w:rPr>
        <w:t>Vitkovskaya</w:t>
      </w:r>
      <w:proofErr w:type="spellEnd"/>
      <w:r w:rsidRPr="00661D84">
        <w:rPr>
          <w:sz w:val="12"/>
          <w:szCs w:val="12"/>
        </w:rPr>
        <w:t>, I., &amp; Tian, F. (2015). Climate Contributions to Vegetation Variations in Central Asian Drylands. Remote Sensing, 7(3), 2449–2470.</w:t>
      </w:r>
    </w:p>
  </w:footnote>
  <w:footnote w:id="40">
    <w:p w14:paraId="52C2C540" w14:textId="77777777" w:rsidR="003F0D71" w:rsidRPr="00661D84" w:rsidRDefault="003F0D71" w:rsidP="003F0D71">
      <w:pPr>
        <w:pStyle w:val="FootnoteText"/>
        <w:rPr>
          <w:sz w:val="12"/>
          <w:szCs w:val="12"/>
        </w:rPr>
      </w:pPr>
      <w:r w:rsidRPr="00661D84">
        <w:rPr>
          <w:rStyle w:val="FootnoteReference"/>
          <w:sz w:val="12"/>
          <w:szCs w:val="12"/>
        </w:rPr>
        <w:footnoteRef/>
      </w:r>
      <w:r w:rsidRPr="00661D84">
        <w:rPr>
          <w:sz w:val="12"/>
          <w:szCs w:val="12"/>
        </w:rPr>
        <w:t xml:space="preserve"> Third National Communication of the Kyrgyz Republic under the UN Framework Convention on</w:t>
      </w:r>
    </w:p>
    <w:p w14:paraId="5990AF44" w14:textId="15D951BF" w:rsidR="003F0D71" w:rsidRPr="00661D84" w:rsidRDefault="003F0D71" w:rsidP="003F0D71">
      <w:pPr>
        <w:pStyle w:val="FootnoteText"/>
        <w:rPr>
          <w:sz w:val="12"/>
          <w:szCs w:val="12"/>
        </w:rPr>
      </w:pPr>
      <w:r w:rsidRPr="00661D84">
        <w:rPr>
          <w:sz w:val="12"/>
          <w:szCs w:val="12"/>
        </w:rPr>
        <w:t xml:space="preserve">Climate Change: </w:t>
      </w:r>
      <w:hyperlink r:id="rId33" w:history="1">
        <w:r w:rsidRPr="00661D84">
          <w:rPr>
            <w:rStyle w:val="Hyperlink"/>
            <w:sz w:val="12"/>
            <w:szCs w:val="12"/>
          </w:rPr>
          <w:t>https://unfccc.int/sites/default/files/resource/NC3_Kyrgyzstan_English_24Jan2017_0.pdf</w:t>
        </w:r>
      </w:hyperlink>
      <w:r w:rsidRPr="00661D84">
        <w:rPr>
          <w:sz w:val="12"/>
          <w:szCs w:val="12"/>
        </w:rPr>
        <w:t xml:space="preserve"> </w:t>
      </w:r>
    </w:p>
  </w:footnote>
  <w:footnote w:id="41">
    <w:p w14:paraId="0B733F3B" w14:textId="0935022E" w:rsidR="006E0BAE" w:rsidRPr="006E0BAE" w:rsidRDefault="006E0BAE">
      <w:pPr>
        <w:pStyle w:val="FootnoteText"/>
        <w:rPr>
          <w:sz w:val="14"/>
          <w:szCs w:val="14"/>
        </w:rPr>
      </w:pPr>
      <w:r w:rsidRPr="00661D84">
        <w:rPr>
          <w:rStyle w:val="FootnoteReference"/>
          <w:sz w:val="12"/>
          <w:szCs w:val="12"/>
        </w:rPr>
        <w:footnoteRef/>
      </w:r>
      <w:r w:rsidRPr="00661D84">
        <w:rPr>
          <w:sz w:val="12"/>
          <w:szCs w:val="12"/>
        </w:rPr>
        <w:t xml:space="preserve"> WHO. 2014. Quantitative risk assessment of the effects of climate change on selected causes of death, 2030s and 2050s. World Health Organization. </w:t>
      </w:r>
      <w:hyperlink r:id="rId34" w:history="1">
        <w:r w:rsidRPr="00661D84">
          <w:rPr>
            <w:rStyle w:val="Hyperlink"/>
            <w:sz w:val="12"/>
            <w:szCs w:val="12"/>
          </w:rPr>
          <w:t>https://www.who.int/globalchange/publications/quantitative-risk-assessment/en/</w:t>
        </w:r>
      </w:hyperlink>
      <w:r w:rsidRPr="006E0BAE">
        <w:rPr>
          <w:sz w:val="14"/>
          <w:szCs w:val="14"/>
        </w:rPr>
        <w:t xml:space="preserve"> </w:t>
      </w:r>
    </w:p>
  </w:footnote>
  <w:footnote w:id="42">
    <w:p w14:paraId="574A7A3F" w14:textId="62F99C4D" w:rsidR="00596BFE" w:rsidRPr="00661D84" w:rsidRDefault="00596BFE">
      <w:pPr>
        <w:pStyle w:val="FootnoteText"/>
        <w:rPr>
          <w:sz w:val="12"/>
          <w:szCs w:val="12"/>
        </w:rPr>
      </w:pPr>
      <w:r w:rsidRPr="00661D84">
        <w:rPr>
          <w:rStyle w:val="FootnoteReference"/>
          <w:sz w:val="12"/>
          <w:szCs w:val="12"/>
        </w:rPr>
        <w:footnoteRef/>
      </w:r>
      <w:r w:rsidRPr="00661D84">
        <w:rPr>
          <w:sz w:val="12"/>
          <w:szCs w:val="12"/>
        </w:rPr>
        <w:t xml:space="preserve"> CAREC. Climate Change: Summer in Kyrgyzstan is Getting Hotter and Hotter: </w:t>
      </w:r>
      <w:hyperlink r:id="rId35" w:history="1">
        <w:r w:rsidRPr="00661D84">
          <w:rPr>
            <w:rStyle w:val="Hyperlink"/>
            <w:sz w:val="12"/>
            <w:szCs w:val="12"/>
          </w:rPr>
          <w:t>https://centralasiaclimateportal.org/climate-change-summer-in-kyrgyzstan-is-getting-hotter-and-hotter/</w:t>
        </w:r>
      </w:hyperlink>
      <w:r w:rsidRPr="00661D84">
        <w:rPr>
          <w:sz w:val="12"/>
          <w:szCs w:val="12"/>
        </w:rPr>
        <w:t xml:space="preserve"> </w:t>
      </w:r>
    </w:p>
  </w:footnote>
  <w:footnote w:id="43">
    <w:p w14:paraId="586666D5" w14:textId="56D3E0DA" w:rsidR="005B433E" w:rsidRPr="00661D84" w:rsidRDefault="005B433E" w:rsidP="005B433E">
      <w:pPr>
        <w:pStyle w:val="FootnoteText"/>
        <w:rPr>
          <w:sz w:val="12"/>
          <w:szCs w:val="12"/>
        </w:rPr>
      </w:pPr>
      <w:r w:rsidRPr="00661D84">
        <w:rPr>
          <w:rStyle w:val="FootnoteReference"/>
          <w:sz w:val="12"/>
          <w:szCs w:val="12"/>
        </w:rPr>
        <w:footnoteRef/>
      </w:r>
      <w:r w:rsidRPr="00661D84">
        <w:rPr>
          <w:sz w:val="12"/>
          <w:szCs w:val="12"/>
        </w:rPr>
        <w:t xml:space="preserve"> UNDP and UNEP (2022). Air Quality in Bishkek: Assessment of emission sources and road map for supporting air quality management: </w:t>
      </w:r>
      <w:hyperlink r:id="rId36" w:history="1">
        <w:r w:rsidRPr="00661D84">
          <w:rPr>
            <w:rStyle w:val="Hyperlink"/>
            <w:sz w:val="12"/>
            <w:szCs w:val="12"/>
          </w:rPr>
          <w:t>https://www.undp.org/kyrgyzstan/publications/air-quality-bishkek-assessment-emission-sources-and-roadmap-supporting-air-quality-management</w:t>
        </w:r>
      </w:hyperlink>
      <w:r w:rsidRPr="00661D84">
        <w:rPr>
          <w:sz w:val="12"/>
          <w:szCs w:val="12"/>
        </w:rPr>
        <w:t xml:space="preserve"> </w:t>
      </w:r>
    </w:p>
  </w:footnote>
  <w:footnote w:id="44">
    <w:p w14:paraId="7F5AFD7A" w14:textId="1F2E52A6" w:rsidR="002A5FEF" w:rsidRPr="00661D84" w:rsidRDefault="002A5FEF" w:rsidP="002A5FEF">
      <w:pPr>
        <w:pStyle w:val="FootnoteText"/>
        <w:rPr>
          <w:sz w:val="12"/>
          <w:szCs w:val="12"/>
        </w:rPr>
      </w:pPr>
      <w:r w:rsidRPr="00661D84">
        <w:rPr>
          <w:rStyle w:val="FootnoteReference"/>
          <w:sz w:val="12"/>
          <w:szCs w:val="12"/>
        </w:rPr>
        <w:footnoteRef/>
      </w:r>
      <w:r w:rsidRPr="00661D84">
        <w:rPr>
          <w:sz w:val="12"/>
          <w:szCs w:val="12"/>
        </w:rPr>
        <w:t xml:space="preserve"> Climate Risk Profile: Kyrgyz Republic (2021): The World Bank Group and Asian</w:t>
      </w:r>
      <w:r w:rsidR="00874924" w:rsidRPr="00661D84">
        <w:rPr>
          <w:sz w:val="12"/>
          <w:szCs w:val="12"/>
        </w:rPr>
        <w:t xml:space="preserve"> </w:t>
      </w:r>
      <w:r w:rsidRPr="00661D84">
        <w:rPr>
          <w:sz w:val="12"/>
          <w:szCs w:val="12"/>
        </w:rPr>
        <w:t xml:space="preserve">Development Bank: </w:t>
      </w:r>
      <w:hyperlink r:id="rId37" w:history="1">
        <w:r w:rsidRPr="00661D84">
          <w:rPr>
            <w:rStyle w:val="Hyperlink"/>
            <w:sz w:val="12"/>
            <w:szCs w:val="12"/>
          </w:rPr>
          <w:t>https://climateknowledgeportal.worldbank.org/sites/default/files/country-profiles/17036-WB_Kyrgyz-Republic-Country-Profile-WEB.pdf</w:t>
        </w:r>
      </w:hyperlink>
    </w:p>
  </w:footnote>
  <w:footnote w:id="45">
    <w:p w14:paraId="389DCAD4" w14:textId="48F4B766" w:rsidR="00F815BC" w:rsidRPr="00661D84" w:rsidRDefault="00F815BC">
      <w:pPr>
        <w:pStyle w:val="FootnoteText"/>
        <w:rPr>
          <w:sz w:val="12"/>
          <w:szCs w:val="12"/>
        </w:rPr>
      </w:pPr>
      <w:r w:rsidRPr="00661D84">
        <w:rPr>
          <w:rStyle w:val="FootnoteReference"/>
          <w:sz w:val="12"/>
          <w:szCs w:val="12"/>
        </w:rPr>
        <w:footnoteRef/>
      </w:r>
      <w:r w:rsidRPr="00661D84">
        <w:rPr>
          <w:sz w:val="12"/>
          <w:szCs w:val="12"/>
        </w:rPr>
        <w:t xml:space="preserve"> Updated Nationally Determined Contribution 2021 Kyrgyzstan: </w:t>
      </w:r>
      <w:hyperlink r:id="rId38" w:history="1">
        <w:r w:rsidRPr="00661D84">
          <w:rPr>
            <w:rStyle w:val="Hyperlink"/>
            <w:sz w:val="12"/>
            <w:szCs w:val="12"/>
          </w:rPr>
          <w:t>https://unfccc.int/sites/default/files/NDC/2022-06/%D0%9E%D0%9D%D0%A3%D0%92%20ENG%20%D0%BE%D1%82%2008102021.pdf</w:t>
        </w:r>
      </w:hyperlink>
    </w:p>
  </w:footnote>
  <w:footnote w:id="46">
    <w:p w14:paraId="5277C88E" w14:textId="760BF5C0" w:rsidR="00B55D28" w:rsidRPr="00661D84" w:rsidRDefault="00B55D28">
      <w:pPr>
        <w:pStyle w:val="FootnoteText"/>
        <w:rPr>
          <w:sz w:val="12"/>
          <w:szCs w:val="12"/>
        </w:rPr>
      </w:pPr>
      <w:r w:rsidRPr="00661D84">
        <w:rPr>
          <w:rStyle w:val="FootnoteReference"/>
          <w:sz w:val="12"/>
          <w:szCs w:val="12"/>
        </w:rPr>
        <w:footnoteRef/>
      </w:r>
      <w:r w:rsidRPr="00661D84">
        <w:rPr>
          <w:sz w:val="12"/>
          <w:szCs w:val="12"/>
        </w:rPr>
        <w:t xml:space="preserve"> Updated Nationally Determined Contribution 2021 Kyrgyzstan: </w:t>
      </w:r>
      <w:hyperlink r:id="rId39" w:history="1">
        <w:r w:rsidRPr="00661D84">
          <w:rPr>
            <w:rStyle w:val="Hyperlink"/>
            <w:sz w:val="12"/>
            <w:szCs w:val="12"/>
          </w:rPr>
          <w:t>https://unfccc.int/sites/default/files/NDC/2022-06/%D0%9E%D0%9D%D0%A3%D0%92%20ENG%20%D0%BE%D1%82%2008102021.pdf</w:t>
        </w:r>
      </w:hyperlink>
    </w:p>
  </w:footnote>
  <w:footnote w:id="47">
    <w:p w14:paraId="0F93E65E" w14:textId="52493842" w:rsidR="005A0916" w:rsidRPr="00661D84" w:rsidRDefault="005A0916">
      <w:pPr>
        <w:pStyle w:val="FootnoteText"/>
        <w:rPr>
          <w:sz w:val="12"/>
          <w:szCs w:val="12"/>
        </w:rPr>
      </w:pPr>
      <w:r w:rsidRPr="00661D84">
        <w:rPr>
          <w:rStyle w:val="FootnoteReference"/>
          <w:sz w:val="12"/>
          <w:szCs w:val="12"/>
        </w:rPr>
        <w:footnoteRef/>
      </w:r>
      <w:r w:rsidRPr="00661D84">
        <w:rPr>
          <w:sz w:val="12"/>
          <w:szCs w:val="12"/>
        </w:rPr>
        <w:t xml:space="preserve"> Updated Nationally Determined Contribution 2021 Kyrgyzstan: </w:t>
      </w:r>
      <w:hyperlink r:id="rId40" w:history="1">
        <w:r w:rsidRPr="00661D84">
          <w:rPr>
            <w:rStyle w:val="Hyperlink"/>
            <w:sz w:val="12"/>
            <w:szCs w:val="12"/>
          </w:rPr>
          <w:t>https://unfccc.int/sites/default/files/NDC/2022-06/%D0%9E%D0%9D%D0%A3%D0%92%20ENG%20%D0%BE%D1%82%2008102021.pdf</w:t>
        </w:r>
      </w:hyperlink>
    </w:p>
  </w:footnote>
  <w:footnote w:id="48">
    <w:p w14:paraId="1788CE6A" w14:textId="4108D541" w:rsidR="00D84DA9" w:rsidRPr="00845845" w:rsidRDefault="00D84DA9">
      <w:pPr>
        <w:pStyle w:val="FootnoteText"/>
        <w:rPr>
          <w:sz w:val="14"/>
          <w:szCs w:val="14"/>
        </w:rPr>
      </w:pPr>
      <w:r w:rsidRPr="00661D84">
        <w:rPr>
          <w:rStyle w:val="FootnoteReference"/>
          <w:sz w:val="12"/>
          <w:szCs w:val="12"/>
        </w:rPr>
        <w:footnoteRef/>
      </w:r>
      <w:r w:rsidRPr="00661D84">
        <w:rPr>
          <w:sz w:val="12"/>
          <w:szCs w:val="12"/>
        </w:rPr>
        <w:t xml:space="preserve"> </w:t>
      </w:r>
      <w:r w:rsidR="00845845" w:rsidRPr="00661D84">
        <w:rPr>
          <w:sz w:val="12"/>
          <w:szCs w:val="12"/>
        </w:rPr>
        <w:t xml:space="preserve">Ministry of Natural Resources, Ecology and Technical Supervision. </w:t>
      </w:r>
      <w:r w:rsidRPr="00661D84">
        <w:rPr>
          <w:sz w:val="12"/>
          <w:szCs w:val="12"/>
        </w:rPr>
        <w:t xml:space="preserve">Assessment of carbon dioxide emissions and removals. </w:t>
      </w:r>
      <w:hyperlink r:id="rId41" w:history="1">
        <w:r w:rsidR="00845845" w:rsidRPr="00661D84">
          <w:rPr>
            <w:rStyle w:val="Hyperlink"/>
            <w:sz w:val="12"/>
            <w:szCs w:val="12"/>
          </w:rPr>
          <w:t>https://mnr.gov.kg/ru/page/vybrosy-kadastr?from=2010&amp;to=2020&amp;category=10&amp;type=line&amp;datalabel=hide&amp;checked=427%2C428%2C439%2C469%2C551</w:t>
        </w:r>
      </w:hyperlink>
      <w:r w:rsidR="00845845" w:rsidRPr="00845845">
        <w:rPr>
          <w:sz w:val="14"/>
          <w:szCs w:val="14"/>
        </w:rPr>
        <w:t xml:space="preserve"> </w:t>
      </w:r>
    </w:p>
  </w:footnote>
  <w:footnote w:id="49">
    <w:p w14:paraId="67086F14" w14:textId="49502251" w:rsidR="00C964C1" w:rsidRPr="00661D84" w:rsidRDefault="00C964C1">
      <w:pPr>
        <w:pStyle w:val="FootnoteText"/>
        <w:rPr>
          <w:sz w:val="12"/>
          <w:szCs w:val="12"/>
        </w:rPr>
      </w:pPr>
      <w:r w:rsidRPr="00661D84">
        <w:rPr>
          <w:rStyle w:val="FootnoteReference"/>
          <w:sz w:val="12"/>
          <w:szCs w:val="12"/>
        </w:rPr>
        <w:footnoteRef/>
      </w:r>
      <w:r w:rsidRPr="00661D84">
        <w:rPr>
          <w:sz w:val="12"/>
          <w:szCs w:val="12"/>
        </w:rPr>
        <w:t xml:space="preserve"> Kyrgyz Republic: Pilot Program for Climate Resilience – Climate Investment Programme. 2018. </w:t>
      </w:r>
      <w:hyperlink r:id="rId42" w:history="1">
        <w:r w:rsidRPr="00661D84">
          <w:rPr>
            <w:rStyle w:val="Hyperlink"/>
            <w:sz w:val="12"/>
            <w:szCs w:val="12"/>
          </w:rPr>
          <w:t>https://documents1.worldbank.org/curated/ar/788321558682372895/pdf/Climate-Investment-Programme-Operational-Framework-for-Managing-and-Accessing-Climate-Finance-in-the-Kyrgyz-Republic.pdf</w:t>
        </w:r>
      </w:hyperlink>
      <w:r w:rsidRPr="00661D84">
        <w:rPr>
          <w:sz w:val="12"/>
          <w:szCs w:val="12"/>
        </w:rPr>
        <w:t xml:space="preserve"> </w:t>
      </w:r>
    </w:p>
  </w:footnote>
  <w:footnote w:id="50">
    <w:p w14:paraId="3B89888A" w14:textId="057E1464" w:rsidR="00780F62" w:rsidRPr="00661D84" w:rsidRDefault="00780F62">
      <w:pPr>
        <w:pStyle w:val="FootnoteText"/>
        <w:rPr>
          <w:sz w:val="12"/>
          <w:szCs w:val="12"/>
        </w:rPr>
      </w:pPr>
      <w:r w:rsidRPr="00661D84">
        <w:rPr>
          <w:rStyle w:val="FootnoteReference"/>
          <w:sz w:val="12"/>
          <w:szCs w:val="12"/>
        </w:rPr>
        <w:footnoteRef/>
      </w:r>
      <w:r w:rsidRPr="00661D84">
        <w:rPr>
          <w:sz w:val="12"/>
          <w:szCs w:val="12"/>
        </w:rPr>
        <w:t xml:space="preserve"> Ministry of Economy and Commerce of the Kyrgyz Republic. Green Taxonomy. </w:t>
      </w:r>
      <w:hyperlink r:id="rId43" w:history="1">
        <w:r w:rsidRPr="00661D84">
          <w:rPr>
            <w:rStyle w:val="Hyperlink"/>
            <w:sz w:val="12"/>
            <w:szCs w:val="12"/>
          </w:rPr>
          <w:t>https://mineconom.gov.kg/froala/uploads/file/652212a61eaece69258d0b5acab1d7fb9b70a5d4.pdf</w:t>
        </w:r>
      </w:hyperlink>
      <w:r w:rsidRPr="00661D84">
        <w:rPr>
          <w:sz w:val="12"/>
          <w:szCs w:val="12"/>
        </w:rPr>
        <w:t xml:space="preserve"> </w:t>
      </w:r>
    </w:p>
  </w:footnote>
  <w:footnote w:id="51">
    <w:p w14:paraId="1EDF8EF2" w14:textId="31DB6449" w:rsidR="006660C9" w:rsidRPr="00661D84" w:rsidRDefault="006660C9">
      <w:pPr>
        <w:pStyle w:val="FootnoteText"/>
        <w:rPr>
          <w:sz w:val="12"/>
          <w:szCs w:val="12"/>
        </w:rPr>
      </w:pPr>
      <w:r w:rsidRPr="00661D84">
        <w:rPr>
          <w:rStyle w:val="FootnoteReference"/>
          <w:sz w:val="12"/>
          <w:szCs w:val="12"/>
        </w:rPr>
        <w:footnoteRef/>
      </w:r>
      <w:r w:rsidRPr="00661D84">
        <w:rPr>
          <w:sz w:val="12"/>
          <w:szCs w:val="12"/>
        </w:rPr>
        <w:t xml:space="preserve"> Updated Nationally Determined Contribution 2021 Kyrgyzstan: </w:t>
      </w:r>
      <w:hyperlink r:id="rId44" w:history="1">
        <w:r w:rsidRPr="00661D84">
          <w:rPr>
            <w:rStyle w:val="Hyperlink"/>
            <w:sz w:val="12"/>
            <w:szCs w:val="12"/>
          </w:rPr>
          <w:t>https://unfccc.int/sites/default/files/NDC/2022-06/%D0%9E%D0%9D%D0%A3%D0%92%20ENG%20%D0%BE%D1%82%2008102021.pdf</w:t>
        </w:r>
      </w:hyperlink>
    </w:p>
  </w:footnote>
  <w:footnote w:id="52">
    <w:p w14:paraId="3BDB653D" w14:textId="6328BD14" w:rsidR="00BF0A78" w:rsidRPr="00661D84" w:rsidRDefault="00BF0A78">
      <w:pPr>
        <w:pStyle w:val="FootnoteText"/>
        <w:rPr>
          <w:sz w:val="12"/>
          <w:szCs w:val="12"/>
        </w:rPr>
      </w:pPr>
      <w:r w:rsidRPr="00661D84">
        <w:rPr>
          <w:rStyle w:val="FootnoteReference"/>
          <w:sz w:val="12"/>
          <w:szCs w:val="12"/>
        </w:rPr>
        <w:footnoteRef/>
      </w:r>
      <w:r w:rsidRPr="00661D84">
        <w:rPr>
          <w:sz w:val="12"/>
          <w:szCs w:val="12"/>
        </w:rPr>
        <w:t xml:space="preserve"> UNDP. 2024. The Concept of the development of climate finance in the Kyrgyz Republic. </w:t>
      </w:r>
      <w:hyperlink r:id="rId45" w:history="1">
        <w:r w:rsidRPr="00661D84">
          <w:rPr>
            <w:rStyle w:val="Hyperlink"/>
            <w:sz w:val="12"/>
            <w:szCs w:val="12"/>
          </w:rPr>
          <w:t>https://www.undp.org/sites/g/files/zskgke326/files/2024-11/the_concept_of_the_development_of_climate_finance_in_the_kyrgyz_republic.pdf</w:t>
        </w:r>
      </w:hyperlink>
      <w:r w:rsidRPr="00661D84">
        <w:rPr>
          <w:sz w:val="12"/>
          <w:szCs w:val="12"/>
        </w:rPr>
        <w:t xml:space="preserve"> </w:t>
      </w:r>
    </w:p>
  </w:footnote>
  <w:footnote w:id="53">
    <w:p w14:paraId="3F3E82B3" w14:textId="7DCE5962" w:rsidR="000F7866" w:rsidRPr="00661D84" w:rsidRDefault="000F7866">
      <w:pPr>
        <w:pStyle w:val="FootnoteText"/>
        <w:rPr>
          <w:sz w:val="12"/>
          <w:szCs w:val="12"/>
        </w:rPr>
      </w:pPr>
      <w:r w:rsidRPr="00661D84">
        <w:rPr>
          <w:rStyle w:val="FootnoteReference"/>
          <w:sz w:val="12"/>
          <w:szCs w:val="12"/>
        </w:rPr>
        <w:footnoteRef/>
      </w:r>
      <w:r w:rsidRPr="00661D84">
        <w:rPr>
          <w:sz w:val="12"/>
          <w:szCs w:val="12"/>
        </w:rPr>
        <w:t xml:space="preserve"> UNDP. 2023. Green Finance Market assessment in Kyrgyzstan. </w:t>
      </w:r>
      <w:hyperlink r:id="rId46" w:history="1">
        <w:r w:rsidRPr="00661D84">
          <w:rPr>
            <w:rStyle w:val="Hyperlink"/>
            <w:sz w:val="12"/>
            <w:szCs w:val="12"/>
          </w:rPr>
          <w:t>https://www.undp.org/kyrgyzstan/publications/green-finance-market-assessment-kyrgyzstan</w:t>
        </w:r>
      </w:hyperlink>
      <w:r w:rsidRPr="00661D84">
        <w:rPr>
          <w:sz w:val="12"/>
          <w:szCs w:val="12"/>
        </w:rPr>
        <w:t xml:space="preserve"> </w:t>
      </w:r>
    </w:p>
  </w:footnote>
  <w:footnote w:id="54">
    <w:p w14:paraId="5F50469D" w14:textId="5D1B5162" w:rsidR="00904068" w:rsidRPr="002A0EC7" w:rsidRDefault="00904068">
      <w:pPr>
        <w:pStyle w:val="FootnoteText"/>
        <w:rPr>
          <w:sz w:val="14"/>
          <w:szCs w:val="14"/>
        </w:rPr>
      </w:pPr>
      <w:r w:rsidRPr="00661D84">
        <w:rPr>
          <w:rStyle w:val="FootnoteReference"/>
          <w:sz w:val="12"/>
          <w:szCs w:val="12"/>
        </w:rPr>
        <w:footnoteRef/>
      </w:r>
      <w:r w:rsidRPr="00661D84">
        <w:rPr>
          <w:sz w:val="12"/>
          <w:szCs w:val="12"/>
        </w:rPr>
        <w:t xml:space="preserve"> UNDP. 2023. Green Finance Market assessment in Kyrgyzstan. </w:t>
      </w:r>
      <w:hyperlink r:id="rId47" w:history="1">
        <w:r w:rsidRPr="00661D84">
          <w:rPr>
            <w:rStyle w:val="Hyperlink"/>
            <w:sz w:val="12"/>
            <w:szCs w:val="12"/>
          </w:rPr>
          <w:t>https://www.undp.org/kyrgyzstan/publications/green-finance-market-assessment-kyrgyzstan</w:t>
        </w:r>
      </w:hyperlink>
    </w:p>
  </w:footnote>
  <w:footnote w:id="55">
    <w:p w14:paraId="3A68106D" w14:textId="5DB6F302" w:rsidR="00335D9A" w:rsidRPr="00661D84" w:rsidRDefault="00335D9A">
      <w:pPr>
        <w:pStyle w:val="FootnoteText"/>
        <w:rPr>
          <w:sz w:val="12"/>
          <w:szCs w:val="12"/>
        </w:rPr>
      </w:pPr>
      <w:r w:rsidRPr="00661D84">
        <w:rPr>
          <w:rStyle w:val="FootnoteReference"/>
          <w:sz w:val="12"/>
          <w:szCs w:val="12"/>
        </w:rPr>
        <w:footnoteRef/>
      </w:r>
      <w:r w:rsidRPr="00661D84">
        <w:rPr>
          <w:sz w:val="12"/>
          <w:szCs w:val="12"/>
        </w:rPr>
        <w:t xml:space="preserve"> UNDP in Kyrgyzstan supported the State Development Bank in the launch of a new product in the field of green financing. 2024. </w:t>
      </w:r>
      <w:hyperlink r:id="rId48" w:history="1">
        <w:r w:rsidRPr="00661D84">
          <w:rPr>
            <w:rStyle w:val="Hyperlink"/>
            <w:sz w:val="12"/>
            <w:szCs w:val="12"/>
          </w:rPr>
          <w:t>https://www.undp.org/kyrgyzstan/press-releases/undp-kyrgyzstan-supported-state-development-bank-launch-new-product-field-green-financing</w:t>
        </w:r>
      </w:hyperlink>
      <w:r w:rsidRPr="00661D84">
        <w:rPr>
          <w:sz w:val="12"/>
          <w:szCs w:val="12"/>
        </w:rPr>
        <w:t xml:space="preserve"> </w:t>
      </w:r>
    </w:p>
  </w:footnote>
  <w:footnote w:id="56">
    <w:p w14:paraId="07854B52" w14:textId="764444D9" w:rsidR="00BD0827" w:rsidRPr="00661D84" w:rsidRDefault="00BD0827">
      <w:pPr>
        <w:pStyle w:val="FootnoteText"/>
        <w:rPr>
          <w:sz w:val="12"/>
          <w:szCs w:val="12"/>
        </w:rPr>
      </w:pPr>
      <w:r w:rsidRPr="00661D84">
        <w:rPr>
          <w:rStyle w:val="FootnoteReference"/>
          <w:sz w:val="12"/>
          <w:szCs w:val="12"/>
        </w:rPr>
        <w:footnoteRef/>
      </w:r>
      <w:r w:rsidRPr="00661D84">
        <w:rPr>
          <w:sz w:val="12"/>
          <w:szCs w:val="12"/>
        </w:rPr>
        <w:t xml:space="preserve"> </w:t>
      </w:r>
      <w:hyperlink r:id="rId49" w:history="1">
        <w:r w:rsidRPr="00661D84">
          <w:rPr>
            <w:rStyle w:val="Hyperlink"/>
            <w:sz w:val="12"/>
            <w:szCs w:val="12"/>
          </w:rPr>
          <w:t>https://sdgs.un.org/system/files/webform/sdg_national_commitments_form/21799/national_development_strategy_of_kr_2018-2040_final_eng.pdf</w:t>
        </w:r>
      </w:hyperlink>
      <w:r w:rsidRPr="00661D84">
        <w:rPr>
          <w:sz w:val="12"/>
          <w:szCs w:val="12"/>
        </w:rPr>
        <w:t xml:space="preserve"> </w:t>
      </w:r>
    </w:p>
  </w:footnote>
  <w:footnote w:id="57">
    <w:p w14:paraId="28FDF44F" w14:textId="01739EC5" w:rsidR="00BD0827" w:rsidRPr="00661D84" w:rsidRDefault="00BD0827">
      <w:pPr>
        <w:pStyle w:val="FootnoteText"/>
        <w:rPr>
          <w:sz w:val="12"/>
          <w:szCs w:val="12"/>
        </w:rPr>
      </w:pPr>
      <w:r w:rsidRPr="00661D84">
        <w:rPr>
          <w:rStyle w:val="FootnoteReference"/>
          <w:sz w:val="12"/>
          <w:szCs w:val="12"/>
        </w:rPr>
        <w:footnoteRef/>
      </w:r>
      <w:r w:rsidRPr="00661D84">
        <w:rPr>
          <w:sz w:val="12"/>
          <w:szCs w:val="12"/>
        </w:rPr>
        <w:t xml:space="preserve"> </w:t>
      </w:r>
      <w:hyperlink r:id="rId50" w:history="1">
        <w:r w:rsidRPr="00661D84">
          <w:rPr>
            <w:rStyle w:val="Hyperlink"/>
            <w:sz w:val="12"/>
            <w:szCs w:val="12"/>
          </w:rPr>
          <w:t>https://www.gov.kg/ru/programs/16</w:t>
        </w:r>
      </w:hyperlink>
      <w:r w:rsidRPr="00661D84">
        <w:rPr>
          <w:sz w:val="12"/>
          <w:szCs w:val="12"/>
        </w:rPr>
        <w:t xml:space="preserve"> </w:t>
      </w:r>
    </w:p>
  </w:footnote>
  <w:footnote w:id="58">
    <w:p w14:paraId="0E4F9A1B" w14:textId="67C30BBD" w:rsidR="00BD0827" w:rsidRPr="00661D84" w:rsidRDefault="00BD0827">
      <w:pPr>
        <w:pStyle w:val="FootnoteText"/>
        <w:rPr>
          <w:sz w:val="12"/>
          <w:szCs w:val="12"/>
        </w:rPr>
      </w:pPr>
      <w:r w:rsidRPr="00661D84">
        <w:rPr>
          <w:rStyle w:val="FootnoteReference"/>
          <w:sz w:val="12"/>
          <w:szCs w:val="12"/>
        </w:rPr>
        <w:footnoteRef/>
      </w:r>
      <w:r w:rsidRPr="00661D84">
        <w:rPr>
          <w:sz w:val="12"/>
          <w:szCs w:val="12"/>
        </w:rPr>
        <w:t xml:space="preserve"> Updated Nationally Determined Contribution 2021 Kyrgyzstan: </w:t>
      </w:r>
      <w:hyperlink r:id="rId51" w:history="1">
        <w:r w:rsidRPr="00661D84">
          <w:rPr>
            <w:rStyle w:val="Hyperlink"/>
            <w:sz w:val="12"/>
            <w:szCs w:val="12"/>
          </w:rPr>
          <w:t>https://unfccc.int/sites/default/files/NDC/2022-06/%D0%9E%D0%9D%D0%A3%D0%92%20ENG%20%D0%BE%D1%82%2008102021.pdf</w:t>
        </w:r>
      </w:hyperlink>
    </w:p>
  </w:footnote>
  <w:footnote w:id="59">
    <w:p w14:paraId="137419DC" w14:textId="539778FD" w:rsidR="00BD0827" w:rsidRPr="00661D84" w:rsidRDefault="00BD0827">
      <w:pPr>
        <w:pStyle w:val="FootnoteText"/>
        <w:rPr>
          <w:sz w:val="12"/>
          <w:szCs w:val="12"/>
        </w:rPr>
      </w:pPr>
      <w:r w:rsidRPr="00661D84">
        <w:rPr>
          <w:rStyle w:val="FootnoteReference"/>
          <w:sz w:val="12"/>
          <w:szCs w:val="12"/>
        </w:rPr>
        <w:footnoteRef/>
      </w:r>
      <w:r w:rsidRPr="00661D84">
        <w:rPr>
          <w:sz w:val="12"/>
          <w:szCs w:val="12"/>
        </w:rPr>
        <w:t xml:space="preserve"> UNDP. Advancing National Adaptation Plan for Climate Change in Kyrgyzstan. 2024. </w:t>
      </w:r>
      <w:hyperlink r:id="rId52" w:history="1">
        <w:r w:rsidRPr="00661D84">
          <w:rPr>
            <w:rStyle w:val="Hyperlink"/>
            <w:sz w:val="12"/>
            <w:szCs w:val="12"/>
          </w:rPr>
          <w:t>https://www.undp.org/kyrgyzstan/press-releases/advancing-national-adaptation-plan-climate-change-kyrgyzstan</w:t>
        </w:r>
      </w:hyperlink>
      <w:r w:rsidRPr="00661D84">
        <w:rPr>
          <w:sz w:val="12"/>
          <w:szCs w:val="12"/>
        </w:rPr>
        <w:t xml:space="preserve"> </w:t>
      </w:r>
    </w:p>
  </w:footnote>
  <w:footnote w:id="60">
    <w:p w14:paraId="0F7C2B8A" w14:textId="2899E6CE" w:rsidR="00BD0827" w:rsidRPr="00BD0827" w:rsidRDefault="00BD0827">
      <w:pPr>
        <w:pStyle w:val="FootnoteText"/>
        <w:rPr>
          <w:sz w:val="12"/>
          <w:szCs w:val="12"/>
        </w:rPr>
      </w:pPr>
      <w:r w:rsidRPr="00661D84">
        <w:rPr>
          <w:rStyle w:val="FootnoteReference"/>
          <w:sz w:val="12"/>
          <w:szCs w:val="12"/>
        </w:rPr>
        <w:footnoteRef/>
      </w:r>
      <w:r w:rsidRPr="00661D84">
        <w:rPr>
          <w:sz w:val="12"/>
          <w:szCs w:val="12"/>
        </w:rPr>
        <w:t xml:space="preserve"> Climate Change Laws. Program for the Development of a Green Economy in the Kyrgyz Republic for 2019-2023. </w:t>
      </w:r>
      <w:hyperlink r:id="rId53" w:history="1">
        <w:r w:rsidRPr="00661D84">
          <w:rPr>
            <w:rStyle w:val="Hyperlink"/>
            <w:sz w:val="12"/>
            <w:szCs w:val="12"/>
          </w:rPr>
          <w:t>https://climate-laws.org/document/program-for-the-development-of-a-green-economy-in-the-kyrgyz-republic-for-2019-2023_934c</w:t>
        </w:r>
      </w:hyperlink>
      <w:r w:rsidRPr="00BD0827">
        <w:rPr>
          <w:sz w:val="12"/>
          <w:szCs w:val="12"/>
        </w:rPr>
        <w:t xml:space="preserve"> </w:t>
      </w:r>
    </w:p>
  </w:footnote>
  <w:footnote w:id="61">
    <w:p w14:paraId="04C60CF4" w14:textId="77777777" w:rsidR="001C7538" w:rsidRPr="00661D84" w:rsidRDefault="001C7538" w:rsidP="001C7538">
      <w:pPr>
        <w:pStyle w:val="FootnoteText"/>
        <w:rPr>
          <w:sz w:val="12"/>
          <w:szCs w:val="12"/>
        </w:rPr>
      </w:pPr>
      <w:r w:rsidRPr="00661D84">
        <w:rPr>
          <w:rStyle w:val="FootnoteReference"/>
          <w:sz w:val="12"/>
          <w:szCs w:val="12"/>
        </w:rPr>
        <w:footnoteRef/>
      </w:r>
      <w:r w:rsidRPr="00661D84">
        <w:rPr>
          <w:sz w:val="12"/>
          <w:szCs w:val="12"/>
        </w:rPr>
        <w:t xml:space="preserve"> </w:t>
      </w:r>
      <w:hyperlink r:id="rId54" w:history="1">
        <w:r w:rsidRPr="00661D84">
          <w:rPr>
            <w:rStyle w:val="Hyperlink"/>
            <w:sz w:val="12"/>
            <w:szCs w:val="12"/>
          </w:rPr>
          <w:t>https://cbd.minjust.gov.kg/112424/edition/1262743/ru</w:t>
        </w:r>
      </w:hyperlink>
      <w:r w:rsidRPr="00661D84">
        <w:rPr>
          <w:sz w:val="12"/>
          <w:szCs w:val="12"/>
        </w:rPr>
        <w:t xml:space="preserve"> </w:t>
      </w:r>
    </w:p>
  </w:footnote>
  <w:footnote w:id="62">
    <w:p w14:paraId="03A66BD7" w14:textId="51271BAD" w:rsidR="001C7538" w:rsidRPr="00661D84" w:rsidRDefault="001C7538">
      <w:pPr>
        <w:pStyle w:val="FootnoteText"/>
        <w:rPr>
          <w:sz w:val="12"/>
          <w:szCs w:val="12"/>
        </w:rPr>
      </w:pPr>
      <w:r w:rsidRPr="00661D84">
        <w:rPr>
          <w:rStyle w:val="FootnoteReference"/>
          <w:sz w:val="12"/>
          <w:szCs w:val="12"/>
        </w:rPr>
        <w:footnoteRef/>
      </w:r>
      <w:r w:rsidRPr="00661D84">
        <w:rPr>
          <w:sz w:val="12"/>
          <w:szCs w:val="12"/>
        </w:rPr>
        <w:t xml:space="preserve"> </w:t>
      </w:r>
      <w:hyperlink r:id="rId55" w:history="1">
        <w:r w:rsidRPr="00661D84">
          <w:rPr>
            <w:rStyle w:val="Hyperlink"/>
            <w:sz w:val="12"/>
            <w:szCs w:val="12"/>
          </w:rPr>
          <w:t>https://www.nbkr.kg/contout.jsp?item=56&amp;lang=RUS&amp;material=44955</w:t>
        </w:r>
      </w:hyperlink>
      <w:r w:rsidRPr="00661D84">
        <w:rPr>
          <w:sz w:val="12"/>
          <w:szCs w:val="12"/>
        </w:rPr>
        <w:t xml:space="preserve"> </w:t>
      </w:r>
    </w:p>
  </w:footnote>
  <w:footnote w:id="63">
    <w:p w14:paraId="2B25482B" w14:textId="77777777" w:rsidR="00B9751C" w:rsidRPr="00B93268" w:rsidRDefault="00B9751C" w:rsidP="00B9751C">
      <w:pPr>
        <w:pStyle w:val="FootnoteText"/>
        <w:rPr>
          <w:sz w:val="12"/>
          <w:szCs w:val="12"/>
        </w:rPr>
      </w:pPr>
      <w:r w:rsidRPr="00B93268">
        <w:rPr>
          <w:rStyle w:val="FootnoteReference"/>
          <w:sz w:val="12"/>
          <w:szCs w:val="12"/>
        </w:rPr>
        <w:footnoteRef/>
      </w:r>
      <w:r w:rsidRPr="00B93268">
        <w:rPr>
          <w:sz w:val="12"/>
          <w:szCs w:val="12"/>
        </w:rPr>
        <w:t>Decree of the President №221 dated October 31, 2018</w:t>
      </w:r>
    </w:p>
  </w:footnote>
  <w:footnote w:id="64">
    <w:p w14:paraId="504E5A35" w14:textId="77777777" w:rsidR="00B9751C" w:rsidRPr="00B93268" w:rsidRDefault="00B9751C" w:rsidP="00B9751C">
      <w:pPr>
        <w:pStyle w:val="FootnoteText"/>
        <w:rPr>
          <w:sz w:val="12"/>
          <w:szCs w:val="12"/>
        </w:rPr>
      </w:pPr>
      <w:r w:rsidRPr="00B93268">
        <w:rPr>
          <w:rStyle w:val="FootnoteReference"/>
          <w:sz w:val="12"/>
          <w:szCs w:val="12"/>
        </w:rPr>
        <w:footnoteRef/>
      </w:r>
      <w:r w:rsidRPr="00B93268">
        <w:rPr>
          <w:sz w:val="12"/>
          <w:szCs w:val="12"/>
        </w:rPr>
        <w:t xml:space="preserve"> Resolution of Government №605 dated November 14, 2019</w:t>
      </w:r>
    </w:p>
  </w:footnote>
  <w:footnote w:id="65">
    <w:p w14:paraId="68E7931F" w14:textId="77777777" w:rsidR="00B9751C" w:rsidRPr="00B93268" w:rsidRDefault="00B9751C" w:rsidP="00B9751C">
      <w:pPr>
        <w:pStyle w:val="FootnoteText"/>
        <w:rPr>
          <w:sz w:val="12"/>
          <w:szCs w:val="12"/>
        </w:rPr>
      </w:pPr>
      <w:r w:rsidRPr="00B93268">
        <w:rPr>
          <w:rStyle w:val="FootnoteReference"/>
          <w:sz w:val="12"/>
          <w:szCs w:val="12"/>
        </w:rPr>
        <w:footnoteRef/>
      </w:r>
      <w:r w:rsidRPr="00B93268">
        <w:rPr>
          <w:sz w:val="12"/>
          <w:szCs w:val="12"/>
        </w:rPr>
        <w:t xml:space="preserve"> Draft Program for the Development of a green economy in the Kyrgyz Republic until 2028, </w:t>
      </w:r>
      <w:hyperlink r:id="rId56" w:history="1">
        <w:r w:rsidRPr="00B93268">
          <w:rPr>
            <w:rStyle w:val="Hyperlink"/>
            <w:sz w:val="12"/>
            <w:szCs w:val="12"/>
          </w:rPr>
          <w:t>https://mineconom.gov.kg/ru/direct/302/335</w:t>
        </w:r>
      </w:hyperlink>
      <w:r w:rsidRPr="00B93268">
        <w:rPr>
          <w:sz w:val="12"/>
          <w:szCs w:val="12"/>
        </w:rPr>
        <w:t xml:space="preserve"> </w:t>
      </w:r>
    </w:p>
  </w:footnote>
  <w:footnote w:id="66">
    <w:p w14:paraId="1703ED5F" w14:textId="4E640AA3" w:rsidR="00B9751C" w:rsidRPr="00B93268" w:rsidRDefault="00B9751C" w:rsidP="00B9751C">
      <w:pPr>
        <w:pStyle w:val="FootnoteText"/>
        <w:rPr>
          <w:sz w:val="12"/>
          <w:szCs w:val="12"/>
        </w:rPr>
      </w:pPr>
      <w:r w:rsidRPr="00B93268">
        <w:rPr>
          <w:rStyle w:val="FootnoteReference"/>
          <w:sz w:val="12"/>
          <w:szCs w:val="12"/>
        </w:rPr>
        <w:footnoteRef/>
      </w:r>
      <w:r w:rsidRPr="00B93268">
        <w:rPr>
          <w:sz w:val="12"/>
          <w:szCs w:val="12"/>
        </w:rPr>
        <w:t xml:space="preserve"> Decision of the Coordination</w:t>
      </w:r>
      <w:r w:rsidR="00B93268" w:rsidRPr="00B93268">
        <w:rPr>
          <w:sz w:val="12"/>
          <w:szCs w:val="12"/>
        </w:rPr>
        <w:t xml:space="preserve"> </w:t>
      </w:r>
      <w:r w:rsidRPr="00B93268">
        <w:rPr>
          <w:sz w:val="12"/>
          <w:szCs w:val="12"/>
        </w:rPr>
        <w:t>Council on Climate Change, Ecology and Development of Green Economy dated September 27, 2021</w:t>
      </w:r>
    </w:p>
  </w:footnote>
  <w:footnote w:id="67">
    <w:p w14:paraId="0CB61893" w14:textId="77777777" w:rsidR="00B9751C" w:rsidRPr="00B93268" w:rsidRDefault="00B9751C" w:rsidP="00B9751C">
      <w:pPr>
        <w:pStyle w:val="FootnoteText"/>
        <w:rPr>
          <w:sz w:val="12"/>
          <w:szCs w:val="12"/>
        </w:rPr>
      </w:pPr>
      <w:r w:rsidRPr="00B93268">
        <w:rPr>
          <w:rStyle w:val="FootnoteReference"/>
          <w:sz w:val="12"/>
          <w:szCs w:val="12"/>
        </w:rPr>
        <w:footnoteRef/>
      </w:r>
      <w:r w:rsidRPr="00B93268">
        <w:rPr>
          <w:sz w:val="12"/>
          <w:szCs w:val="12"/>
        </w:rPr>
        <w:t xml:space="preserve"> Resolution of the Cabinet of the Ministers №94 dated February 22, 2023</w:t>
      </w:r>
    </w:p>
  </w:footnote>
  <w:footnote w:id="68">
    <w:p w14:paraId="40D988AF" w14:textId="77777777" w:rsidR="00B9751C" w:rsidRPr="00B93268" w:rsidRDefault="00B9751C" w:rsidP="00B9751C">
      <w:pPr>
        <w:pStyle w:val="FootnoteText"/>
        <w:rPr>
          <w:sz w:val="12"/>
          <w:szCs w:val="12"/>
        </w:rPr>
      </w:pPr>
      <w:r w:rsidRPr="00B93268">
        <w:rPr>
          <w:rStyle w:val="FootnoteReference"/>
          <w:sz w:val="12"/>
          <w:szCs w:val="12"/>
        </w:rPr>
        <w:footnoteRef/>
      </w:r>
      <w:r w:rsidRPr="00B93268">
        <w:rPr>
          <w:sz w:val="12"/>
          <w:szCs w:val="12"/>
        </w:rPr>
        <w:t xml:space="preserve"> Kyrgyz Republic Law №93 "On the National Bank of the Kyrgyz Republic, Banks, and Banking Activities” dated August 11, 2022</w:t>
      </w:r>
    </w:p>
  </w:footnote>
  <w:footnote w:id="69">
    <w:p w14:paraId="745D6DC6" w14:textId="77777777" w:rsidR="00B9751C" w:rsidRPr="00B93268" w:rsidRDefault="00B9751C" w:rsidP="00B9751C">
      <w:pPr>
        <w:pStyle w:val="FootnoteText"/>
        <w:rPr>
          <w:sz w:val="12"/>
          <w:szCs w:val="12"/>
        </w:rPr>
      </w:pPr>
      <w:r w:rsidRPr="00B93268">
        <w:rPr>
          <w:rStyle w:val="FootnoteReference"/>
          <w:sz w:val="12"/>
          <w:szCs w:val="12"/>
        </w:rPr>
        <w:footnoteRef/>
      </w:r>
      <w:r w:rsidRPr="00B93268">
        <w:rPr>
          <w:sz w:val="12"/>
          <w:szCs w:val="12"/>
        </w:rPr>
        <w:t xml:space="preserve"> Second draft of the Green Taxonomy, </w:t>
      </w:r>
      <w:hyperlink r:id="rId57" w:history="1">
        <w:r w:rsidRPr="00B93268">
          <w:rPr>
            <w:rStyle w:val="Hyperlink"/>
            <w:sz w:val="12"/>
            <w:szCs w:val="12"/>
          </w:rPr>
          <w:t>https://mineconom.gov.kg/ru/direct/302/sub/492</w:t>
        </w:r>
      </w:hyperlink>
    </w:p>
  </w:footnote>
  <w:footnote w:id="70">
    <w:p w14:paraId="7D7E349E" w14:textId="77777777" w:rsidR="00DF6C84" w:rsidRPr="00B93268" w:rsidRDefault="00DF6C84" w:rsidP="00DF6C84">
      <w:pPr>
        <w:pStyle w:val="FootnoteText"/>
        <w:rPr>
          <w:rFonts w:asciiTheme="majorHAnsi" w:hAnsiTheme="majorHAnsi" w:cstheme="majorHAnsi"/>
          <w:sz w:val="12"/>
          <w:szCs w:val="12"/>
        </w:rPr>
      </w:pPr>
      <w:r w:rsidRPr="00B93268">
        <w:rPr>
          <w:rStyle w:val="FootnoteReference"/>
          <w:rFonts w:asciiTheme="majorHAnsi" w:hAnsiTheme="majorHAnsi" w:cstheme="majorHAnsi"/>
          <w:sz w:val="12"/>
          <w:szCs w:val="12"/>
        </w:rPr>
        <w:footnoteRef/>
      </w:r>
      <w:r w:rsidRPr="00B93268">
        <w:rPr>
          <w:rFonts w:asciiTheme="majorHAnsi" w:hAnsiTheme="majorHAnsi" w:cstheme="majorHAnsi"/>
          <w:sz w:val="12"/>
          <w:szCs w:val="12"/>
        </w:rPr>
        <w:t xml:space="preserve"> </w:t>
      </w:r>
      <w:hyperlink r:id="rId58" w:history="1">
        <w:r w:rsidRPr="00B93268">
          <w:rPr>
            <w:rStyle w:val="Hyperlink"/>
            <w:rFonts w:asciiTheme="majorHAnsi" w:hAnsiTheme="majorHAnsi" w:cstheme="majorHAnsi"/>
            <w:sz w:val="12"/>
            <w:szCs w:val="12"/>
          </w:rPr>
          <w:t>https://cbd.minjust.gov.kg/159102/edition/1169203/ru</w:t>
        </w:r>
      </w:hyperlink>
      <w:r w:rsidRPr="00B93268">
        <w:rPr>
          <w:rFonts w:asciiTheme="majorHAnsi" w:hAnsiTheme="majorHAnsi" w:cstheme="majorHAnsi"/>
          <w:sz w:val="12"/>
          <w:szCs w:val="12"/>
        </w:rPr>
        <w:t xml:space="preserve"> </w:t>
      </w:r>
    </w:p>
  </w:footnote>
  <w:footnote w:id="71">
    <w:p w14:paraId="6DB58024" w14:textId="77777777" w:rsidR="00DF6C84" w:rsidRPr="00B93268" w:rsidRDefault="00DF6C84" w:rsidP="00DF6C84">
      <w:pPr>
        <w:pStyle w:val="FootnoteText"/>
        <w:rPr>
          <w:rFonts w:asciiTheme="majorHAnsi" w:hAnsiTheme="majorHAnsi" w:cstheme="majorHAnsi"/>
          <w:sz w:val="12"/>
          <w:szCs w:val="12"/>
        </w:rPr>
      </w:pPr>
      <w:r w:rsidRPr="00B93268">
        <w:rPr>
          <w:rStyle w:val="FootnoteReference"/>
          <w:rFonts w:asciiTheme="majorHAnsi" w:hAnsiTheme="majorHAnsi" w:cstheme="majorHAnsi"/>
          <w:sz w:val="12"/>
          <w:szCs w:val="12"/>
        </w:rPr>
        <w:footnoteRef/>
      </w:r>
      <w:r w:rsidRPr="00B93268">
        <w:rPr>
          <w:rFonts w:asciiTheme="majorHAnsi" w:hAnsiTheme="majorHAnsi" w:cstheme="majorHAnsi"/>
          <w:sz w:val="12"/>
          <w:szCs w:val="12"/>
        </w:rPr>
        <w:t xml:space="preserve"> </w:t>
      </w:r>
      <w:hyperlink r:id="rId59" w:history="1">
        <w:r w:rsidRPr="00B93268">
          <w:rPr>
            <w:rStyle w:val="Hyperlink"/>
            <w:rFonts w:asciiTheme="majorHAnsi" w:hAnsiTheme="majorHAnsi" w:cstheme="majorHAnsi"/>
            <w:sz w:val="12"/>
            <w:szCs w:val="12"/>
          </w:rPr>
          <w:t>https://cbd.minjust.gov.kg/159102/edition/1169203/ru</w:t>
        </w:r>
      </w:hyperlink>
      <w:r w:rsidRPr="00B93268">
        <w:rPr>
          <w:rFonts w:asciiTheme="majorHAnsi" w:hAnsiTheme="majorHAnsi" w:cstheme="majorHAnsi"/>
          <w:sz w:val="12"/>
          <w:szCs w:val="12"/>
        </w:rPr>
        <w:t xml:space="preserve"> </w:t>
      </w:r>
    </w:p>
  </w:footnote>
  <w:footnote w:id="72">
    <w:p w14:paraId="6701D0E6" w14:textId="77777777" w:rsidR="00DF6C84" w:rsidRPr="00B93268" w:rsidRDefault="00DF6C84" w:rsidP="00DF6C84">
      <w:pPr>
        <w:pStyle w:val="FootnoteText"/>
        <w:rPr>
          <w:sz w:val="12"/>
          <w:szCs w:val="12"/>
        </w:rPr>
      </w:pPr>
      <w:r w:rsidRPr="00B93268">
        <w:rPr>
          <w:rStyle w:val="FootnoteReference"/>
          <w:sz w:val="12"/>
          <w:szCs w:val="12"/>
        </w:rPr>
        <w:footnoteRef/>
      </w:r>
      <w:r w:rsidRPr="00B93268">
        <w:rPr>
          <w:sz w:val="12"/>
          <w:szCs w:val="12"/>
        </w:rPr>
        <w:t xml:space="preserve"> </w:t>
      </w:r>
      <w:hyperlink r:id="rId60" w:history="1">
        <w:r w:rsidRPr="00B93268">
          <w:rPr>
            <w:rStyle w:val="Hyperlink"/>
            <w:sz w:val="12"/>
            <w:szCs w:val="12"/>
          </w:rPr>
          <w:t>https://cbd.minjust.gov.kg/7-21240/edition/1271105/ru</w:t>
        </w:r>
      </w:hyperlink>
      <w:r w:rsidRPr="00B93268">
        <w:rPr>
          <w:sz w:val="12"/>
          <w:szCs w:val="12"/>
        </w:rPr>
        <w:t xml:space="preserve"> </w:t>
      </w:r>
    </w:p>
  </w:footnote>
  <w:footnote w:id="73">
    <w:p w14:paraId="4BB7F014" w14:textId="77777777" w:rsidR="00DF6C84" w:rsidRPr="00B93268" w:rsidRDefault="00DF6C84" w:rsidP="00DF6C84">
      <w:pPr>
        <w:pStyle w:val="FootnoteText"/>
        <w:rPr>
          <w:sz w:val="12"/>
          <w:szCs w:val="12"/>
        </w:rPr>
      </w:pPr>
      <w:r w:rsidRPr="00B93268">
        <w:rPr>
          <w:rStyle w:val="FootnoteReference"/>
          <w:sz w:val="12"/>
          <w:szCs w:val="12"/>
        </w:rPr>
        <w:footnoteRef/>
      </w:r>
      <w:r w:rsidRPr="00B93268">
        <w:rPr>
          <w:sz w:val="12"/>
          <w:szCs w:val="12"/>
        </w:rPr>
        <w:t xml:space="preserve"> </w:t>
      </w:r>
      <w:hyperlink r:id="rId61" w:history="1">
        <w:r w:rsidRPr="00B93268">
          <w:rPr>
            <w:rStyle w:val="Hyperlink"/>
            <w:sz w:val="12"/>
            <w:szCs w:val="12"/>
          </w:rPr>
          <w:t>https://cbd.minjust.gov.kg/99775/edition/17052/ru</w:t>
        </w:r>
      </w:hyperlink>
      <w:r w:rsidRPr="00B93268">
        <w:rPr>
          <w:sz w:val="12"/>
          <w:szCs w:val="12"/>
        </w:rPr>
        <w:t xml:space="preserve"> </w:t>
      </w:r>
    </w:p>
  </w:footnote>
  <w:footnote w:id="74">
    <w:p w14:paraId="6A821803" w14:textId="00B710CF" w:rsidR="00DF6C84" w:rsidRPr="00DF6C84" w:rsidRDefault="00DF6C84" w:rsidP="00DF6C84">
      <w:pPr>
        <w:pStyle w:val="FootnoteText"/>
        <w:rPr>
          <w:sz w:val="14"/>
          <w:szCs w:val="14"/>
        </w:rPr>
      </w:pPr>
      <w:r w:rsidRPr="00B93268">
        <w:rPr>
          <w:rStyle w:val="FootnoteReference"/>
          <w:sz w:val="12"/>
          <w:szCs w:val="12"/>
        </w:rPr>
        <w:footnoteRef/>
      </w:r>
      <w:r w:rsidRPr="00B93268">
        <w:rPr>
          <w:sz w:val="12"/>
          <w:szCs w:val="12"/>
        </w:rPr>
        <w:t xml:space="preserve"> </w:t>
      </w:r>
      <w:hyperlink r:id="rId62" w:history="1">
        <w:r w:rsidRPr="00B93268">
          <w:rPr>
            <w:rStyle w:val="Hyperlink"/>
            <w:sz w:val="12"/>
            <w:szCs w:val="12"/>
          </w:rPr>
          <w:t>https://cbd.minjust.gov.kg/112424/edition/1262743/ru</w:t>
        </w:r>
      </w:hyperlink>
      <w:r w:rsidRPr="00B93268">
        <w:rPr>
          <w:sz w:val="12"/>
          <w:szCs w:val="12"/>
        </w:rPr>
        <w:t xml:space="preserve"> </w:t>
      </w:r>
    </w:p>
  </w:footnote>
  <w:footnote w:id="75">
    <w:p w14:paraId="63A3466B" w14:textId="27BABDB3" w:rsidR="005D0353" w:rsidRPr="00661D84" w:rsidRDefault="005D0353">
      <w:pPr>
        <w:pStyle w:val="FootnoteText"/>
        <w:rPr>
          <w:sz w:val="12"/>
          <w:szCs w:val="12"/>
        </w:rPr>
      </w:pPr>
      <w:r w:rsidRPr="00661D84">
        <w:rPr>
          <w:rStyle w:val="FootnoteReference"/>
          <w:sz w:val="12"/>
          <w:szCs w:val="12"/>
        </w:rPr>
        <w:footnoteRef/>
      </w:r>
      <w:r w:rsidRPr="00661D84">
        <w:rPr>
          <w:sz w:val="12"/>
          <w:szCs w:val="12"/>
        </w:rPr>
        <w:t xml:space="preserve"> UNDP Kyrgyzstan. Gender Equality Strategy 2023-2027: </w:t>
      </w:r>
      <w:hyperlink r:id="rId63" w:history="1">
        <w:r w:rsidRPr="00661D84">
          <w:rPr>
            <w:rStyle w:val="Hyperlink"/>
            <w:sz w:val="12"/>
            <w:szCs w:val="12"/>
          </w:rPr>
          <w:t>https://www.undp.org/sites/g/files/zskgke326/files/2023-11/undp_kgz_ge_strategy_2023-27.pdf</w:t>
        </w:r>
      </w:hyperlink>
      <w:r w:rsidRPr="00661D84">
        <w:rPr>
          <w:sz w:val="12"/>
          <w:szCs w:val="12"/>
        </w:rPr>
        <w:t xml:space="preserve"> </w:t>
      </w:r>
    </w:p>
  </w:footnote>
  <w:footnote w:id="76">
    <w:p w14:paraId="3717F5D6" w14:textId="1AD5482C" w:rsidR="00E76D00" w:rsidRPr="00661D84" w:rsidRDefault="00E76D00">
      <w:pPr>
        <w:pStyle w:val="FootnoteText"/>
        <w:rPr>
          <w:sz w:val="12"/>
          <w:szCs w:val="12"/>
        </w:rPr>
      </w:pPr>
      <w:r w:rsidRPr="00661D84">
        <w:rPr>
          <w:rStyle w:val="FootnoteReference"/>
          <w:sz w:val="12"/>
          <w:szCs w:val="12"/>
        </w:rPr>
        <w:footnoteRef/>
      </w:r>
      <w:r w:rsidRPr="00661D84">
        <w:rPr>
          <w:sz w:val="12"/>
          <w:szCs w:val="12"/>
        </w:rPr>
        <w:t xml:space="preserve"> National Strategy of the Kyrgyz Republic on achieving gender equality by 2030: </w:t>
      </w:r>
      <w:hyperlink r:id="rId64" w:history="1">
        <w:r w:rsidRPr="00661D84">
          <w:rPr>
            <w:rStyle w:val="Hyperlink"/>
            <w:sz w:val="12"/>
            <w:szCs w:val="12"/>
          </w:rPr>
          <w:t>https://cbd.minjust.gov.kg/159472/edition/1189691/ru</w:t>
        </w:r>
      </w:hyperlink>
      <w:r w:rsidRPr="00661D84">
        <w:rPr>
          <w:sz w:val="12"/>
          <w:szCs w:val="12"/>
        </w:rPr>
        <w:t xml:space="preserve"> </w:t>
      </w:r>
    </w:p>
  </w:footnote>
  <w:footnote w:id="77">
    <w:p w14:paraId="5EC41567" w14:textId="6778E7CD" w:rsidR="00E76D00" w:rsidRPr="00661D84" w:rsidRDefault="00E76D00">
      <w:pPr>
        <w:pStyle w:val="FootnoteText"/>
        <w:rPr>
          <w:sz w:val="12"/>
          <w:szCs w:val="12"/>
        </w:rPr>
      </w:pPr>
      <w:r w:rsidRPr="00661D84">
        <w:rPr>
          <w:rStyle w:val="FootnoteReference"/>
          <w:sz w:val="12"/>
          <w:szCs w:val="12"/>
        </w:rPr>
        <w:footnoteRef/>
      </w:r>
      <w:r w:rsidRPr="00661D84">
        <w:rPr>
          <w:sz w:val="12"/>
          <w:szCs w:val="12"/>
        </w:rPr>
        <w:t xml:space="preserve"> UNDP Kyrgyzstan. Gender Equality Strategy 2023-2027: </w:t>
      </w:r>
      <w:hyperlink r:id="rId65" w:history="1">
        <w:r w:rsidRPr="00661D84">
          <w:rPr>
            <w:rStyle w:val="Hyperlink"/>
            <w:sz w:val="12"/>
            <w:szCs w:val="12"/>
          </w:rPr>
          <w:t>https://www.undp.org/sites/g/files/zskgke326/files/2023-11/undp_kgz_ge_strategy_2023-27.pdf</w:t>
        </w:r>
      </w:hyperlink>
    </w:p>
  </w:footnote>
  <w:footnote w:id="78">
    <w:p w14:paraId="5A1A1162" w14:textId="77777777" w:rsidR="003D7E31" w:rsidRPr="00661D84" w:rsidRDefault="003D7E31" w:rsidP="003D7E31">
      <w:pPr>
        <w:pStyle w:val="FootnoteText"/>
        <w:rPr>
          <w:sz w:val="12"/>
          <w:szCs w:val="12"/>
        </w:rPr>
      </w:pPr>
      <w:r w:rsidRPr="00661D84">
        <w:rPr>
          <w:rStyle w:val="FootnoteReference"/>
          <w:sz w:val="12"/>
          <w:szCs w:val="12"/>
        </w:rPr>
        <w:footnoteRef/>
      </w:r>
      <w:r w:rsidRPr="00661D84">
        <w:rPr>
          <w:sz w:val="12"/>
          <w:szCs w:val="12"/>
        </w:rPr>
        <w:t xml:space="preserve"> UNDP Kyrgyzstan. Rich countries attain record human development, but half of the poorest have gone backwards, finds UN Development Programme. </w:t>
      </w:r>
      <w:hyperlink r:id="rId66" w:history="1">
        <w:r w:rsidRPr="00661D84">
          <w:rPr>
            <w:rStyle w:val="Hyperlink"/>
            <w:sz w:val="12"/>
            <w:szCs w:val="12"/>
          </w:rPr>
          <w:t>https://www.undp.org/kyrgyzstan/press-releases/rich-countries-attain-record-human-development-half-poorest-have-gone-backwards-finds-un-development-programme</w:t>
        </w:r>
      </w:hyperlink>
      <w:r w:rsidRPr="00661D84">
        <w:rPr>
          <w:sz w:val="12"/>
          <w:szCs w:val="12"/>
        </w:rPr>
        <w:t xml:space="preserve"> </w:t>
      </w:r>
    </w:p>
  </w:footnote>
  <w:footnote w:id="79">
    <w:p w14:paraId="55333662" w14:textId="2A26308C" w:rsidR="00770CD3" w:rsidRDefault="00770CD3">
      <w:pPr>
        <w:pStyle w:val="FootnoteText"/>
      </w:pPr>
      <w:r w:rsidRPr="00661D84">
        <w:rPr>
          <w:rStyle w:val="FootnoteReference"/>
          <w:sz w:val="12"/>
          <w:szCs w:val="12"/>
        </w:rPr>
        <w:footnoteRef/>
      </w:r>
      <w:r w:rsidRPr="00661D84">
        <w:rPr>
          <w:sz w:val="12"/>
          <w:szCs w:val="12"/>
        </w:rPr>
        <w:t xml:space="preserve"> Human Development Report 2023-24: </w:t>
      </w:r>
      <w:hyperlink r:id="rId67" w:history="1">
        <w:r w:rsidRPr="00661D84">
          <w:rPr>
            <w:rStyle w:val="Hyperlink"/>
            <w:sz w:val="12"/>
            <w:szCs w:val="12"/>
          </w:rPr>
          <w:t>https://hdr.undp.org/content/human-development-report-2023-24</w:t>
        </w:r>
      </w:hyperlink>
      <w:r w:rsidR="00CF6CA4" w:rsidRPr="00661D84">
        <w:rPr>
          <w:sz w:val="12"/>
          <w:szCs w:val="12"/>
        </w:rPr>
        <w:t xml:space="preserve"> and </w:t>
      </w:r>
      <w:hyperlink r:id="rId68" w:anchor="/countries/KGZ" w:history="1">
        <w:r w:rsidR="00CF6CA4" w:rsidRPr="00661D84">
          <w:rPr>
            <w:rStyle w:val="Hyperlink"/>
            <w:sz w:val="12"/>
            <w:szCs w:val="12"/>
          </w:rPr>
          <w:t>https://hdr.undp.org/data-center/specific-country-data#/countries/KGZ</w:t>
        </w:r>
      </w:hyperlink>
      <w:r w:rsidR="00CF6CA4">
        <w:rPr>
          <w:sz w:val="14"/>
          <w:szCs w:val="14"/>
        </w:rPr>
        <w:t xml:space="preserve"> </w:t>
      </w:r>
    </w:p>
  </w:footnote>
  <w:footnote w:id="80">
    <w:p w14:paraId="4947F85D" w14:textId="10524146" w:rsidR="003E0439" w:rsidRPr="00661D84" w:rsidRDefault="003E0439">
      <w:pPr>
        <w:pStyle w:val="FootnoteText"/>
        <w:rPr>
          <w:sz w:val="12"/>
          <w:szCs w:val="12"/>
        </w:rPr>
      </w:pPr>
      <w:r w:rsidRPr="00661D84">
        <w:rPr>
          <w:rStyle w:val="FootnoteReference"/>
          <w:sz w:val="12"/>
          <w:szCs w:val="12"/>
        </w:rPr>
        <w:footnoteRef/>
      </w:r>
      <w:r w:rsidRPr="00661D84">
        <w:rPr>
          <w:sz w:val="12"/>
          <w:szCs w:val="12"/>
        </w:rPr>
        <w:t xml:space="preserve"> ADB. 2019. Kyrgyz Republic Country Gender Assessment. </w:t>
      </w:r>
      <w:hyperlink r:id="rId69" w:history="1">
        <w:r w:rsidRPr="00661D84">
          <w:rPr>
            <w:rStyle w:val="Hyperlink"/>
            <w:sz w:val="12"/>
            <w:szCs w:val="12"/>
          </w:rPr>
          <w:t>https://www.adb.org/sites/default/files/institutional-document/546966/kyrgyzrepublic-country-gender-assessment-2019.pdf</w:t>
        </w:r>
      </w:hyperlink>
      <w:r w:rsidRPr="00661D84">
        <w:rPr>
          <w:sz w:val="12"/>
          <w:szCs w:val="12"/>
        </w:rPr>
        <w:t xml:space="preserve"> </w:t>
      </w:r>
    </w:p>
  </w:footnote>
  <w:footnote w:id="81">
    <w:p w14:paraId="7C36396B" w14:textId="15DACA15" w:rsidR="00874924" w:rsidRPr="00661D84" w:rsidRDefault="00874924">
      <w:pPr>
        <w:pStyle w:val="FootnoteText"/>
        <w:rPr>
          <w:sz w:val="12"/>
          <w:szCs w:val="12"/>
        </w:rPr>
      </w:pPr>
      <w:r w:rsidRPr="00661D84">
        <w:rPr>
          <w:rStyle w:val="FootnoteReference"/>
          <w:sz w:val="12"/>
          <w:szCs w:val="12"/>
        </w:rPr>
        <w:footnoteRef/>
      </w:r>
      <w:r w:rsidRPr="00661D84">
        <w:rPr>
          <w:sz w:val="12"/>
          <w:szCs w:val="12"/>
        </w:rPr>
        <w:t xml:space="preserve"> Climate Risk Profile: Kyrgyz Republic (2021): The World Bank Group and Asian Development Bank: </w:t>
      </w:r>
      <w:hyperlink r:id="rId70" w:history="1">
        <w:r w:rsidRPr="00661D84">
          <w:rPr>
            <w:rStyle w:val="Hyperlink"/>
            <w:sz w:val="12"/>
            <w:szCs w:val="12"/>
          </w:rPr>
          <w:t>https://climateknowledgeportal.worldbank.org/sites/default/files/country-profiles/17036-WB_Kyrgyz-Republic-Country-Profile-WEB.pdf</w:t>
        </w:r>
      </w:hyperlink>
    </w:p>
  </w:footnote>
  <w:footnote w:id="82">
    <w:p w14:paraId="0D684D84" w14:textId="46272FA0" w:rsidR="008F097A" w:rsidRPr="00661D84" w:rsidRDefault="008F097A">
      <w:pPr>
        <w:pStyle w:val="FootnoteText"/>
        <w:rPr>
          <w:sz w:val="12"/>
          <w:szCs w:val="12"/>
        </w:rPr>
      </w:pPr>
      <w:r w:rsidRPr="00661D84">
        <w:rPr>
          <w:rStyle w:val="FootnoteReference"/>
          <w:sz w:val="12"/>
          <w:szCs w:val="12"/>
        </w:rPr>
        <w:footnoteRef/>
      </w:r>
      <w:r w:rsidRPr="00661D84">
        <w:rPr>
          <w:sz w:val="12"/>
          <w:szCs w:val="12"/>
        </w:rPr>
        <w:t xml:space="preserve"> </w:t>
      </w:r>
      <w:r w:rsidR="00842162" w:rsidRPr="00661D84">
        <w:rPr>
          <w:sz w:val="12"/>
          <w:szCs w:val="12"/>
        </w:rPr>
        <w:t xml:space="preserve">ADB. 2019. Kyrgyz Republic Country Gender Assessment. </w:t>
      </w:r>
      <w:hyperlink r:id="rId71" w:history="1">
        <w:r w:rsidR="00842162" w:rsidRPr="00661D84">
          <w:rPr>
            <w:rStyle w:val="Hyperlink"/>
            <w:sz w:val="12"/>
            <w:szCs w:val="12"/>
          </w:rPr>
          <w:t>https://www.adb.org/sites/default/files/institutional-document/546966/kyrgyzrepublic-country-gender-assessment-2019.pdf</w:t>
        </w:r>
      </w:hyperlink>
    </w:p>
  </w:footnote>
  <w:footnote w:id="83">
    <w:p w14:paraId="15F63C37" w14:textId="7589023F" w:rsidR="003B7721" w:rsidRPr="00661D84" w:rsidRDefault="003B7721">
      <w:pPr>
        <w:pStyle w:val="FootnoteText"/>
        <w:rPr>
          <w:sz w:val="12"/>
          <w:szCs w:val="12"/>
        </w:rPr>
      </w:pPr>
      <w:r w:rsidRPr="00661D84">
        <w:rPr>
          <w:rStyle w:val="FootnoteReference"/>
          <w:sz w:val="12"/>
          <w:szCs w:val="12"/>
        </w:rPr>
        <w:footnoteRef/>
      </w:r>
      <w:r w:rsidRPr="00661D84">
        <w:rPr>
          <w:sz w:val="12"/>
          <w:szCs w:val="12"/>
        </w:rPr>
        <w:t xml:space="preserve"> UNDP Kyrgyzstan. Gender Equality Strategy 2023-2027: </w:t>
      </w:r>
      <w:hyperlink r:id="rId72" w:history="1">
        <w:r w:rsidRPr="00661D84">
          <w:rPr>
            <w:rStyle w:val="Hyperlink"/>
            <w:sz w:val="12"/>
            <w:szCs w:val="12"/>
          </w:rPr>
          <w:t>https://www.undp.org/sites/g/files/zskgke326/files/2023-11/undp_kgz_ge_strategy_2023-27.pdf</w:t>
        </w:r>
      </w:hyperlink>
    </w:p>
  </w:footnote>
  <w:footnote w:id="84">
    <w:p w14:paraId="1C6129C3" w14:textId="77777777" w:rsidR="00F07597" w:rsidRPr="00661D84" w:rsidRDefault="00F07597" w:rsidP="00F07597">
      <w:pPr>
        <w:pStyle w:val="FootnoteText"/>
        <w:rPr>
          <w:sz w:val="12"/>
          <w:szCs w:val="12"/>
        </w:rPr>
      </w:pPr>
      <w:r w:rsidRPr="00661D84">
        <w:rPr>
          <w:rStyle w:val="FootnoteReference"/>
          <w:sz w:val="12"/>
          <w:szCs w:val="12"/>
        </w:rPr>
        <w:footnoteRef/>
      </w:r>
      <w:r w:rsidRPr="00661D84">
        <w:rPr>
          <w:sz w:val="12"/>
          <w:szCs w:val="12"/>
        </w:rPr>
        <w:t xml:space="preserve"> Updated Nationally Determined Contribution 2021 Kyrgyzstan: </w:t>
      </w:r>
      <w:hyperlink r:id="rId73" w:history="1">
        <w:r w:rsidRPr="00661D84">
          <w:rPr>
            <w:rStyle w:val="Hyperlink"/>
            <w:sz w:val="12"/>
            <w:szCs w:val="12"/>
          </w:rPr>
          <w:t>https://unfccc.int/sites/default/files/NDC/2022-06/%D0%9E%D0%9D%D0%A3%D0%92%20ENG%20%D0%BE%D1%82%2008102021.pdf</w:t>
        </w:r>
      </w:hyperlink>
    </w:p>
  </w:footnote>
  <w:footnote w:id="85">
    <w:p w14:paraId="10102982" w14:textId="79EA5B70" w:rsidR="002F4CE2" w:rsidRPr="00661D84" w:rsidRDefault="002F4CE2">
      <w:pPr>
        <w:pStyle w:val="FootnoteText"/>
        <w:rPr>
          <w:sz w:val="12"/>
          <w:szCs w:val="12"/>
        </w:rPr>
      </w:pPr>
      <w:r w:rsidRPr="00661D84">
        <w:rPr>
          <w:rStyle w:val="FootnoteReference"/>
          <w:sz w:val="12"/>
          <w:szCs w:val="12"/>
        </w:rPr>
        <w:footnoteRef/>
      </w:r>
      <w:r w:rsidRPr="00661D84">
        <w:rPr>
          <w:sz w:val="12"/>
          <w:szCs w:val="12"/>
        </w:rPr>
        <w:t xml:space="preserve"> Kyrgyzstan GCF NAP Readiness Proposal. 2020. </w:t>
      </w:r>
      <w:hyperlink r:id="rId74" w:history="1">
        <w:r w:rsidRPr="00661D84">
          <w:rPr>
            <w:rStyle w:val="Hyperlink"/>
            <w:sz w:val="12"/>
            <w:szCs w:val="12"/>
          </w:rPr>
          <w:t>https://www.greenclimate.fund/sites/default/files/document/kyrgyzstan-nap-undp.pdf</w:t>
        </w:r>
      </w:hyperlink>
      <w:r w:rsidRPr="00661D84">
        <w:rPr>
          <w:sz w:val="12"/>
          <w:szCs w:val="12"/>
        </w:rPr>
        <w:t xml:space="preserve"> </w:t>
      </w:r>
    </w:p>
  </w:footnote>
  <w:footnote w:id="86">
    <w:p w14:paraId="67CE3D2B" w14:textId="64FFAAAE" w:rsidR="00FD10E0" w:rsidRPr="00661D84" w:rsidRDefault="00FD10E0">
      <w:pPr>
        <w:pStyle w:val="FootnoteText"/>
        <w:rPr>
          <w:sz w:val="12"/>
          <w:szCs w:val="12"/>
        </w:rPr>
      </w:pPr>
      <w:r w:rsidRPr="00661D84">
        <w:rPr>
          <w:rStyle w:val="FootnoteReference"/>
          <w:sz w:val="12"/>
          <w:szCs w:val="12"/>
        </w:rPr>
        <w:footnoteRef/>
      </w:r>
      <w:r w:rsidRPr="00661D84">
        <w:rPr>
          <w:sz w:val="12"/>
          <w:szCs w:val="12"/>
        </w:rPr>
        <w:t xml:space="preserve"> National Strategy of the Kyrgyz Republic on achieving gender equality by 2030: </w:t>
      </w:r>
      <w:hyperlink r:id="rId75" w:history="1">
        <w:r w:rsidRPr="00661D84">
          <w:rPr>
            <w:rStyle w:val="Hyperlink"/>
            <w:sz w:val="12"/>
            <w:szCs w:val="12"/>
          </w:rPr>
          <w:t>https://cbd.minjust.gov.kg/159472/edition/1189691/ru</w:t>
        </w:r>
      </w:hyperlink>
    </w:p>
  </w:footnote>
  <w:footnote w:id="87">
    <w:p w14:paraId="0333FFD4" w14:textId="679FC342" w:rsidR="00B136C3" w:rsidRPr="00661D84" w:rsidRDefault="00B136C3">
      <w:pPr>
        <w:pStyle w:val="FootnoteText"/>
        <w:rPr>
          <w:sz w:val="12"/>
          <w:szCs w:val="12"/>
        </w:rPr>
      </w:pPr>
      <w:r w:rsidRPr="00661D84">
        <w:rPr>
          <w:rStyle w:val="FootnoteReference"/>
          <w:sz w:val="12"/>
          <w:szCs w:val="12"/>
        </w:rPr>
        <w:footnoteRef/>
      </w:r>
      <w:r w:rsidRPr="00661D84">
        <w:rPr>
          <w:sz w:val="12"/>
          <w:szCs w:val="12"/>
        </w:rPr>
        <w:t xml:space="preserve"> United Nations. Why women are key to climate change. </w:t>
      </w:r>
      <w:hyperlink r:id="rId76" w:anchor=":~:text=Women%20are%20agents%20of%20change&amp;text=In%20wealthier%20societies%2C%20women%20drive,and%20energy%20in%20the%20household" w:history="1">
        <w:r w:rsidRPr="00661D84">
          <w:rPr>
            <w:rStyle w:val="Hyperlink"/>
            <w:sz w:val="12"/>
            <w:szCs w:val="12"/>
          </w:rPr>
          <w:t>https://www.un.org/en/climatechange/science/climate-issues/women#:~:text=Women%20are%20agents%20of%20change&amp;text=In%20wealthier%20societies%2C%20women%20drive,and%20energy%20in%20the%20household</w:t>
        </w:r>
      </w:hyperlink>
      <w:r w:rsidRPr="00661D84">
        <w:rPr>
          <w:sz w:val="12"/>
          <w:szCs w:val="12"/>
        </w:rPr>
        <w:t xml:space="preserve">. </w:t>
      </w:r>
    </w:p>
  </w:footnote>
  <w:footnote w:id="88">
    <w:p w14:paraId="08D0249E" w14:textId="26490D41" w:rsidR="00102F36" w:rsidRPr="000A41C8" w:rsidRDefault="00102F36">
      <w:pPr>
        <w:pStyle w:val="FootnoteText"/>
        <w:rPr>
          <w:sz w:val="14"/>
          <w:szCs w:val="14"/>
        </w:rPr>
      </w:pPr>
      <w:r w:rsidRPr="00661D84">
        <w:rPr>
          <w:rStyle w:val="FootnoteReference"/>
          <w:sz w:val="12"/>
          <w:szCs w:val="12"/>
        </w:rPr>
        <w:footnoteRef/>
      </w:r>
      <w:r w:rsidRPr="00661D84">
        <w:rPr>
          <w:sz w:val="12"/>
          <w:szCs w:val="12"/>
        </w:rPr>
        <w:t xml:space="preserve"> UNDP Kyrgyzstan. 2024. Equal participation of women in green decisions is the key to the successful development of the country's economy. </w:t>
      </w:r>
      <w:hyperlink r:id="rId77" w:history="1">
        <w:r w:rsidRPr="00661D84">
          <w:rPr>
            <w:rStyle w:val="Hyperlink"/>
            <w:sz w:val="12"/>
            <w:szCs w:val="12"/>
          </w:rPr>
          <w:t>https://www.undp.org/kyrgyzstan/stories/equal-participation-women-green-decisions-key-successful-development-countrys-economy</w:t>
        </w:r>
      </w:hyperlink>
      <w:r w:rsidRPr="000A41C8">
        <w:rPr>
          <w:sz w:val="14"/>
          <w:szCs w:val="14"/>
        </w:rPr>
        <w:t xml:space="preserve"> </w:t>
      </w:r>
    </w:p>
  </w:footnote>
  <w:footnote w:id="89">
    <w:p w14:paraId="67CCBF0E" w14:textId="687E89B2" w:rsidR="000A41C8" w:rsidRPr="00661D84" w:rsidRDefault="000A41C8">
      <w:pPr>
        <w:pStyle w:val="FootnoteText"/>
        <w:rPr>
          <w:sz w:val="12"/>
          <w:szCs w:val="12"/>
        </w:rPr>
      </w:pPr>
      <w:r w:rsidRPr="00661D84">
        <w:rPr>
          <w:rStyle w:val="FootnoteReference"/>
          <w:sz w:val="12"/>
          <w:szCs w:val="12"/>
        </w:rPr>
        <w:footnoteRef/>
      </w:r>
      <w:r w:rsidRPr="00661D84">
        <w:rPr>
          <w:sz w:val="12"/>
          <w:szCs w:val="12"/>
        </w:rPr>
        <w:t xml:space="preserve"> UNDP Kyrgyzstan. Gender Equality Strategy 2023-2027: </w:t>
      </w:r>
      <w:hyperlink r:id="rId78" w:history="1">
        <w:r w:rsidRPr="00661D84">
          <w:rPr>
            <w:rStyle w:val="Hyperlink"/>
            <w:sz w:val="12"/>
            <w:szCs w:val="12"/>
          </w:rPr>
          <w:t>https://www.undp.org/sites/g/files/zskgke326/files/2023-11/undp_kgz_ge_strategy_2023-27.pdf</w:t>
        </w:r>
      </w:hyperlink>
    </w:p>
  </w:footnote>
  <w:footnote w:id="90">
    <w:p w14:paraId="1A8B03F0" w14:textId="1723293E" w:rsidR="000A41C8" w:rsidRPr="000A41C8" w:rsidRDefault="000A41C8">
      <w:pPr>
        <w:pStyle w:val="FootnoteText"/>
        <w:rPr>
          <w:sz w:val="14"/>
          <w:szCs w:val="14"/>
        </w:rPr>
      </w:pPr>
      <w:r w:rsidRPr="00661D84">
        <w:rPr>
          <w:rStyle w:val="FootnoteReference"/>
          <w:sz w:val="12"/>
          <w:szCs w:val="12"/>
        </w:rPr>
        <w:footnoteRef/>
      </w:r>
      <w:r w:rsidRPr="00661D84">
        <w:rPr>
          <w:sz w:val="12"/>
          <w:szCs w:val="12"/>
        </w:rPr>
        <w:t xml:space="preserve"> GCF Gender Policy. 2019. </w:t>
      </w:r>
      <w:hyperlink r:id="rId79" w:history="1">
        <w:r w:rsidRPr="00661D84">
          <w:rPr>
            <w:rStyle w:val="Hyperlink"/>
            <w:sz w:val="12"/>
            <w:szCs w:val="12"/>
          </w:rPr>
          <w:t>https://www.greenclimate.fund/sites/default/files/document/gcf-gender-policy.pdf</w:t>
        </w:r>
      </w:hyperlink>
      <w:r w:rsidRPr="000A41C8">
        <w:rPr>
          <w:sz w:val="14"/>
          <w:szCs w:val="14"/>
        </w:rPr>
        <w:t xml:space="preserve"> </w:t>
      </w:r>
    </w:p>
  </w:footnote>
  <w:footnote w:id="91">
    <w:p w14:paraId="485FD03E" w14:textId="6C40A0D2" w:rsidR="005E282F" w:rsidRPr="005E282F" w:rsidRDefault="005E282F">
      <w:pPr>
        <w:pStyle w:val="FootnoteText"/>
        <w:rPr>
          <w:sz w:val="12"/>
          <w:szCs w:val="12"/>
        </w:rPr>
      </w:pPr>
      <w:r w:rsidRPr="005E282F">
        <w:rPr>
          <w:rStyle w:val="FootnoteReference"/>
          <w:sz w:val="12"/>
          <w:szCs w:val="12"/>
        </w:rPr>
        <w:footnoteRef/>
      </w:r>
      <w:r w:rsidRPr="005E282F">
        <w:rPr>
          <w:sz w:val="12"/>
          <w:szCs w:val="12"/>
        </w:rPr>
        <w:t xml:space="preserve"> UNDP. 2023. Green Finance Market assessment in Kyrgyzstan. </w:t>
      </w:r>
      <w:hyperlink r:id="rId80" w:history="1">
        <w:r w:rsidRPr="005E282F">
          <w:rPr>
            <w:rStyle w:val="Hyperlink"/>
            <w:sz w:val="12"/>
            <w:szCs w:val="12"/>
          </w:rPr>
          <w:t>https://www.undp.org/kyrgyzstan/publications/green-finance-market-assessment-kyrgyzstan</w:t>
        </w:r>
      </w:hyperlink>
    </w:p>
  </w:footnote>
  <w:footnote w:id="92">
    <w:p w14:paraId="14DC8639" w14:textId="5EBF99DF" w:rsidR="005E282F" w:rsidRPr="005E282F" w:rsidRDefault="005E282F">
      <w:pPr>
        <w:pStyle w:val="FootnoteText"/>
        <w:rPr>
          <w:sz w:val="12"/>
          <w:szCs w:val="12"/>
        </w:rPr>
      </w:pPr>
      <w:r w:rsidRPr="005E282F">
        <w:rPr>
          <w:rStyle w:val="FootnoteReference"/>
          <w:sz w:val="12"/>
          <w:szCs w:val="12"/>
        </w:rPr>
        <w:footnoteRef/>
      </w:r>
      <w:r w:rsidRPr="005E282F">
        <w:rPr>
          <w:sz w:val="12"/>
          <w:szCs w:val="12"/>
        </w:rPr>
        <w:t xml:space="preserve"> UNDP. UNDP contributes to the green finance market development in Kyrgyzstan. </w:t>
      </w:r>
      <w:hyperlink r:id="rId81" w:history="1">
        <w:r w:rsidRPr="005E282F">
          <w:rPr>
            <w:rStyle w:val="Hyperlink"/>
            <w:sz w:val="12"/>
            <w:szCs w:val="12"/>
          </w:rPr>
          <w:t>https://www.undp.org/kyrgyzstan/press-releases/undp-contributes-green-finance-market-development-kyrgyzstan</w:t>
        </w:r>
      </w:hyperlink>
      <w:r w:rsidRPr="005E282F">
        <w:rPr>
          <w:sz w:val="12"/>
          <w:szCs w:val="12"/>
        </w:rPr>
        <w:t xml:space="preserve"> </w:t>
      </w:r>
    </w:p>
  </w:footnote>
  <w:footnote w:id="93">
    <w:p w14:paraId="45A101D7" w14:textId="34C8D650" w:rsidR="005E282F" w:rsidRDefault="005E282F">
      <w:pPr>
        <w:pStyle w:val="FootnoteText"/>
      </w:pPr>
      <w:r w:rsidRPr="005E282F">
        <w:rPr>
          <w:rStyle w:val="FootnoteReference"/>
          <w:sz w:val="12"/>
          <w:szCs w:val="12"/>
        </w:rPr>
        <w:footnoteRef/>
      </w:r>
      <w:r w:rsidRPr="005E282F">
        <w:rPr>
          <w:sz w:val="12"/>
          <w:szCs w:val="12"/>
        </w:rPr>
        <w:t xml:space="preserve"> UNDP. 2024. The Concept of the development of climate finance in the Kyrgyz Republic. </w:t>
      </w:r>
      <w:hyperlink r:id="rId82" w:history="1">
        <w:r w:rsidRPr="005E282F">
          <w:rPr>
            <w:rStyle w:val="Hyperlink"/>
            <w:sz w:val="12"/>
            <w:szCs w:val="12"/>
          </w:rPr>
          <w:t>https://www.undp.org/sites/g/files/zskgke326/files/2024-11/the_concept_of_the_development_of_climate_finance_in_the_kyrgyz_republic.pdf</w:t>
        </w:r>
      </w:hyperlink>
    </w:p>
  </w:footnote>
  <w:footnote w:id="94">
    <w:p w14:paraId="38CBA9DC" w14:textId="1CDEB342" w:rsidR="003A6A9B" w:rsidRPr="00661D84" w:rsidRDefault="003A6A9B">
      <w:pPr>
        <w:pStyle w:val="FootnoteText"/>
        <w:rPr>
          <w:sz w:val="12"/>
          <w:szCs w:val="12"/>
        </w:rPr>
      </w:pPr>
      <w:r w:rsidRPr="00661D84">
        <w:rPr>
          <w:rStyle w:val="FootnoteReference"/>
          <w:sz w:val="12"/>
          <w:szCs w:val="12"/>
        </w:rPr>
        <w:footnoteRef/>
      </w:r>
      <w:r w:rsidRPr="00661D84">
        <w:rPr>
          <w:sz w:val="12"/>
          <w:szCs w:val="12"/>
        </w:rPr>
        <w:t xml:space="preserve"> </w:t>
      </w:r>
      <w:hyperlink r:id="rId83" w:anchor="documents" w:history="1">
        <w:r w:rsidRPr="00661D84">
          <w:rPr>
            <w:rStyle w:val="Hyperlink"/>
            <w:sz w:val="12"/>
            <w:szCs w:val="12"/>
          </w:rPr>
          <w:t>https://www.greenclimate.fund/project/fp116#documents</w:t>
        </w:r>
      </w:hyperlink>
      <w:r w:rsidRPr="00661D84">
        <w:rPr>
          <w:sz w:val="12"/>
          <w:szCs w:val="12"/>
        </w:rPr>
        <w:t xml:space="preserve"> </w:t>
      </w:r>
    </w:p>
  </w:footnote>
  <w:footnote w:id="95">
    <w:p w14:paraId="47D2AC8C" w14:textId="0015E65E" w:rsidR="001A6D55" w:rsidRPr="00661D84" w:rsidRDefault="001A6D55">
      <w:pPr>
        <w:pStyle w:val="FootnoteText"/>
        <w:rPr>
          <w:sz w:val="12"/>
          <w:szCs w:val="12"/>
        </w:rPr>
      </w:pPr>
      <w:r w:rsidRPr="00661D84">
        <w:rPr>
          <w:rStyle w:val="FootnoteReference"/>
          <w:sz w:val="12"/>
          <w:szCs w:val="12"/>
        </w:rPr>
        <w:footnoteRef/>
      </w:r>
      <w:r w:rsidRPr="00661D84">
        <w:rPr>
          <w:sz w:val="12"/>
          <w:szCs w:val="12"/>
        </w:rPr>
        <w:t xml:space="preserve"> </w:t>
      </w:r>
      <w:hyperlink r:id="rId84" w:history="1">
        <w:r w:rsidRPr="00661D84">
          <w:rPr>
            <w:rStyle w:val="Hyperlink"/>
            <w:sz w:val="12"/>
            <w:szCs w:val="12"/>
          </w:rPr>
          <w:t>https://www.greenclimate.fund/sites/default/files/document/funding-proposal-fp116-fao-kyrgyzstan.pdf</w:t>
        </w:r>
      </w:hyperlink>
      <w:r w:rsidRPr="00661D84">
        <w:rPr>
          <w:sz w:val="12"/>
          <w:szCs w:val="12"/>
        </w:rPr>
        <w:t xml:space="preserve"> </w:t>
      </w:r>
    </w:p>
  </w:footnote>
  <w:footnote w:id="96">
    <w:p w14:paraId="570310D3" w14:textId="77777777" w:rsidR="00223CCA" w:rsidRPr="00661D84" w:rsidRDefault="00223CCA" w:rsidP="00223CCA">
      <w:pPr>
        <w:pStyle w:val="FootnoteText"/>
        <w:rPr>
          <w:sz w:val="12"/>
          <w:szCs w:val="12"/>
        </w:rPr>
      </w:pPr>
      <w:r w:rsidRPr="00661D84">
        <w:rPr>
          <w:rStyle w:val="FootnoteReference"/>
          <w:sz w:val="12"/>
          <w:szCs w:val="12"/>
        </w:rPr>
        <w:footnoteRef/>
      </w:r>
      <w:r w:rsidRPr="00661D84">
        <w:rPr>
          <w:sz w:val="12"/>
          <w:szCs w:val="12"/>
        </w:rPr>
        <w:t xml:space="preserve"> </w:t>
      </w:r>
      <w:hyperlink r:id="rId85" w:history="1">
        <w:r w:rsidRPr="00661D84">
          <w:rPr>
            <w:rStyle w:val="Hyperlink"/>
            <w:sz w:val="12"/>
            <w:szCs w:val="12"/>
          </w:rPr>
          <w:t>https://www.greenclimate.fund/sites/default/files/document/fp116-annual-performance-report-cy2022-v.pdf</w:t>
        </w:r>
      </w:hyperlink>
      <w:r w:rsidRPr="00661D84">
        <w:rPr>
          <w:sz w:val="12"/>
          <w:szCs w:val="12"/>
        </w:rPr>
        <w:t xml:space="preserve"> </w:t>
      </w:r>
    </w:p>
  </w:footnote>
  <w:footnote w:id="97">
    <w:p w14:paraId="3FA5C225" w14:textId="3A7C12E4" w:rsidR="00DD73C2" w:rsidRPr="00661D84" w:rsidRDefault="00DD73C2">
      <w:pPr>
        <w:pStyle w:val="FootnoteText"/>
        <w:rPr>
          <w:sz w:val="12"/>
          <w:szCs w:val="12"/>
        </w:rPr>
      </w:pPr>
      <w:r w:rsidRPr="00661D84">
        <w:rPr>
          <w:rStyle w:val="FootnoteReference"/>
          <w:sz w:val="12"/>
          <w:szCs w:val="12"/>
        </w:rPr>
        <w:footnoteRef/>
      </w:r>
      <w:r w:rsidRPr="00661D84">
        <w:rPr>
          <w:sz w:val="12"/>
          <w:szCs w:val="12"/>
        </w:rPr>
        <w:t xml:space="preserve"> </w:t>
      </w:r>
      <w:hyperlink r:id="rId86" w:history="1">
        <w:r w:rsidRPr="00661D84">
          <w:rPr>
            <w:rStyle w:val="Hyperlink"/>
            <w:sz w:val="12"/>
            <w:szCs w:val="12"/>
          </w:rPr>
          <w:t>https://www.greenclimate.fund/sites/default/files/document/funding-proposal-sap002-wfp-kyrgyzstan.pdf</w:t>
        </w:r>
      </w:hyperlink>
      <w:r w:rsidRPr="00661D84">
        <w:rPr>
          <w:sz w:val="12"/>
          <w:szCs w:val="12"/>
        </w:rPr>
        <w:t xml:space="preserve"> </w:t>
      </w:r>
    </w:p>
  </w:footnote>
  <w:footnote w:id="98">
    <w:p w14:paraId="02DC9260" w14:textId="3F7B498F" w:rsidR="00162612" w:rsidRPr="00162612" w:rsidRDefault="00162612">
      <w:pPr>
        <w:pStyle w:val="FootnoteText"/>
        <w:rPr>
          <w:sz w:val="14"/>
          <w:szCs w:val="14"/>
        </w:rPr>
      </w:pPr>
      <w:r w:rsidRPr="00661D84">
        <w:rPr>
          <w:rStyle w:val="FootnoteReference"/>
          <w:sz w:val="12"/>
          <w:szCs w:val="12"/>
        </w:rPr>
        <w:footnoteRef/>
      </w:r>
      <w:r w:rsidRPr="00661D84">
        <w:rPr>
          <w:sz w:val="12"/>
          <w:szCs w:val="12"/>
        </w:rPr>
        <w:t xml:space="preserve"> </w:t>
      </w:r>
      <w:hyperlink r:id="rId87" w:history="1">
        <w:r w:rsidRPr="00661D84">
          <w:rPr>
            <w:rStyle w:val="Hyperlink"/>
            <w:sz w:val="12"/>
            <w:szCs w:val="12"/>
          </w:rPr>
          <w:t>https://www.greenclimate.fund/sites/default/files/document/sap002-annual-performance-report-cy2023.pdf</w:t>
        </w:r>
      </w:hyperlink>
      <w:r w:rsidRPr="00162612">
        <w:rPr>
          <w:sz w:val="14"/>
          <w:szCs w:val="14"/>
        </w:rPr>
        <w:t xml:space="preserve"> </w:t>
      </w:r>
    </w:p>
  </w:footnote>
  <w:footnote w:id="99">
    <w:p w14:paraId="3602AA7E" w14:textId="01A62331" w:rsidR="001B0196" w:rsidRPr="00661D84" w:rsidRDefault="001B0196">
      <w:pPr>
        <w:pStyle w:val="FootnoteText"/>
        <w:rPr>
          <w:sz w:val="12"/>
          <w:szCs w:val="12"/>
        </w:rPr>
      </w:pPr>
      <w:r w:rsidRPr="00661D84">
        <w:rPr>
          <w:rStyle w:val="FootnoteReference"/>
          <w:sz w:val="12"/>
          <w:szCs w:val="12"/>
        </w:rPr>
        <w:footnoteRef/>
      </w:r>
      <w:r w:rsidRPr="00661D84">
        <w:rPr>
          <w:sz w:val="12"/>
          <w:szCs w:val="12"/>
        </w:rPr>
        <w:t xml:space="preserve"> </w:t>
      </w:r>
      <w:hyperlink r:id="rId88" w:history="1">
        <w:r w:rsidRPr="00661D84">
          <w:rPr>
            <w:rStyle w:val="Hyperlink"/>
            <w:sz w:val="12"/>
            <w:szCs w:val="12"/>
          </w:rPr>
          <w:t>https://www.greenclimate.fund/project/fp204</w:t>
        </w:r>
      </w:hyperlink>
      <w:r w:rsidRPr="00661D84">
        <w:rPr>
          <w:sz w:val="12"/>
          <w:szCs w:val="12"/>
        </w:rPr>
        <w:t xml:space="preserve"> </w:t>
      </w:r>
    </w:p>
  </w:footnote>
  <w:footnote w:id="100">
    <w:p w14:paraId="1DC61E07" w14:textId="7B94885E" w:rsidR="00EE3664" w:rsidRPr="00661D84" w:rsidRDefault="00EE3664">
      <w:pPr>
        <w:pStyle w:val="FootnoteText"/>
        <w:rPr>
          <w:sz w:val="12"/>
          <w:szCs w:val="12"/>
        </w:rPr>
      </w:pPr>
      <w:r w:rsidRPr="00661D84">
        <w:rPr>
          <w:rStyle w:val="FootnoteReference"/>
          <w:sz w:val="12"/>
          <w:szCs w:val="12"/>
        </w:rPr>
        <w:footnoteRef/>
      </w:r>
      <w:r w:rsidRPr="00661D84">
        <w:rPr>
          <w:sz w:val="12"/>
          <w:szCs w:val="12"/>
        </w:rPr>
        <w:t xml:space="preserve"> </w:t>
      </w:r>
      <w:hyperlink r:id="rId89" w:history="1">
        <w:r w:rsidRPr="00661D84">
          <w:rPr>
            <w:rStyle w:val="Hyperlink"/>
            <w:sz w:val="12"/>
            <w:szCs w:val="12"/>
          </w:rPr>
          <w:t>https://www.greenclimate.fund/sites/default/files/document/fp204-world-bank-multiple-countries.pdf</w:t>
        </w:r>
      </w:hyperlink>
      <w:r w:rsidRPr="00661D84">
        <w:rPr>
          <w:sz w:val="12"/>
          <w:szCs w:val="12"/>
        </w:rPr>
        <w:t xml:space="preserve"> </w:t>
      </w:r>
    </w:p>
  </w:footnote>
  <w:footnote w:id="101">
    <w:p w14:paraId="2653C5E1" w14:textId="2F9D1739" w:rsidR="009A7BCA" w:rsidRPr="009A7BCA" w:rsidRDefault="009A7BCA">
      <w:pPr>
        <w:pStyle w:val="FootnoteText"/>
        <w:rPr>
          <w:sz w:val="14"/>
          <w:szCs w:val="14"/>
        </w:rPr>
      </w:pPr>
      <w:r w:rsidRPr="00661D84">
        <w:rPr>
          <w:rStyle w:val="FootnoteReference"/>
          <w:sz w:val="12"/>
          <w:szCs w:val="12"/>
        </w:rPr>
        <w:footnoteRef/>
      </w:r>
      <w:r w:rsidRPr="00661D84">
        <w:rPr>
          <w:sz w:val="12"/>
          <w:szCs w:val="12"/>
        </w:rPr>
        <w:t xml:space="preserve"> </w:t>
      </w:r>
      <w:hyperlink r:id="rId90" w:history="1">
        <w:r w:rsidRPr="00661D84">
          <w:rPr>
            <w:rStyle w:val="Hyperlink"/>
            <w:sz w:val="12"/>
            <w:szCs w:val="12"/>
          </w:rPr>
          <w:t>https://www.greenclimate.fund/project/fp253</w:t>
        </w:r>
      </w:hyperlink>
      <w:r w:rsidRPr="009A7BCA">
        <w:rPr>
          <w:sz w:val="14"/>
          <w:szCs w:val="14"/>
        </w:rPr>
        <w:t xml:space="preserve"> </w:t>
      </w:r>
    </w:p>
  </w:footnote>
  <w:footnote w:id="102">
    <w:p w14:paraId="672052DD" w14:textId="1637B3DC" w:rsidR="002A6689" w:rsidRPr="00661D84" w:rsidRDefault="002A6689">
      <w:pPr>
        <w:pStyle w:val="FootnoteText"/>
        <w:rPr>
          <w:sz w:val="12"/>
          <w:szCs w:val="12"/>
        </w:rPr>
      </w:pPr>
      <w:r w:rsidRPr="00661D84">
        <w:rPr>
          <w:rStyle w:val="FootnoteReference"/>
          <w:sz w:val="12"/>
          <w:szCs w:val="12"/>
        </w:rPr>
        <w:footnoteRef/>
      </w:r>
      <w:r w:rsidRPr="00661D84">
        <w:rPr>
          <w:sz w:val="12"/>
          <w:szCs w:val="12"/>
        </w:rPr>
        <w:t xml:space="preserve"> </w:t>
      </w:r>
      <w:hyperlink r:id="rId91" w:history="1">
        <w:r w:rsidRPr="00661D84">
          <w:rPr>
            <w:rStyle w:val="Hyperlink"/>
            <w:sz w:val="12"/>
            <w:szCs w:val="12"/>
          </w:rPr>
          <w:t>https://www.greenclimate.fund/sites/default/files/document/gcf-b40-02-add15-funding-proposal-pacakge-fp253.pdf</w:t>
        </w:r>
      </w:hyperlink>
      <w:r w:rsidRPr="00661D84">
        <w:rPr>
          <w:sz w:val="12"/>
          <w:szCs w:val="12"/>
        </w:rPr>
        <w:t xml:space="preserve"> </w:t>
      </w:r>
    </w:p>
  </w:footnote>
  <w:footnote w:id="103">
    <w:p w14:paraId="28A60721" w14:textId="3DA55A7D" w:rsidR="0021332D" w:rsidRPr="00661D84" w:rsidRDefault="0021332D">
      <w:pPr>
        <w:pStyle w:val="FootnoteText"/>
        <w:rPr>
          <w:sz w:val="12"/>
          <w:szCs w:val="12"/>
        </w:rPr>
      </w:pPr>
      <w:r w:rsidRPr="00661D84">
        <w:rPr>
          <w:rStyle w:val="FootnoteReference"/>
          <w:sz w:val="12"/>
          <w:szCs w:val="12"/>
        </w:rPr>
        <w:footnoteRef/>
      </w:r>
      <w:r w:rsidRPr="00661D84">
        <w:rPr>
          <w:sz w:val="12"/>
          <w:szCs w:val="12"/>
        </w:rPr>
        <w:t xml:space="preserve"> </w:t>
      </w:r>
      <w:hyperlink r:id="rId92" w:history="1">
        <w:r w:rsidRPr="00661D84">
          <w:rPr>
            <w:rStyle w:val="Hyperlink"/>
            <w:sz w:val="12"/>
            <w:szCs w:val="12"/>
          </w:rPr>
          <w:t>https://www.greenclimate.fund/project/fp225</w:t>
        </w:r>
      </w:hyperlink>
      <w:r w:rsidRPr="00661D84">
        <w:rPr>
          <w:sz w:val="12"/>
          <w:szCs w:val="12"/>
        </w:rPr>
        <w:t xml:space="preserve"> </w:t>
      </w:r>
    </w:p>
  </w:footnote>
  <w:footnote w:id="104">
    <w:p w14:paraId="2B8DD19A" w14:textId="79372AE1" w:rsidR="002A6689" w:rsidRPr="00661D84" w:rsidRDefault="002A6689">
      <w:pPr>
        <w:pStyle w:val="FootnoteText"/>
        <w:rPr>
          <w:sz w:val="12"/>
          <w:szCs w:val="12"/>
        </w:rPr>
      </w:pPr>
      <w:r w:rsidRPr="00661D84">
        <w:rPr>
          <w:rStyle w:val="FootnoteReference"/>
          <w:sz w:val="12"/>
          <w:szCs w:val="12"/>
        </w:rPr>
        <w:footnoteRef/>
      </w:r>
      <w:r w:rsidRPr="00661D84">
        <w:rPr>
          <w:sz w:val="12"/>
          <w:szCs w:val="12"/>
        </w:rPr>
        <w:t xml:space="preserve"> </w:t>
      </w:r>
      <w:hyperlink r:id="rId93" w:history="1">
        <w:r w:rsidRPr="00661D84">
          <w:rPr>
            <w:rStyle w:val="Hyperlink"/>
            <w:sz w:val="12"/>
            <w:szCs w:val="12"/>
          </w:rPr>
          <w:t>https://www.greenclimate.fund/document/e-mobility-program</w:t>
        </w:r>
      </w:hyperlink>
      <w:r w:rsidRPr="00661D84">
        <w:rPr>
          <w:sz w:val="12"/>
          <w:szCs w:val="12"/>
        </w:rPr>
        <w:t xml:space="preserve"> </w:t>
      </w:r>
    </w:p>
  </w:footnote>
  <w:footnote w:id="105">
    <w:p w14:paraId="6B767B8D" w14:textId="71104B7A" w:rsidR="00287C85" w:rsidRPr="00287C85" w:rsidRDefault="00287C85">
      <w:pPr>
        <w:pStyle w:val="FootnoteText"/>
        <w:rPr>
          <w:sz w:val="14"/>
          <w:szCs w:val="14"/>
        </w:rPr>
      </w:pPr>
      <w:r w:rsidRPr="00661D84">
        <w:rPr>
          <w:rStyle w:val="FootnoteReference"/>
          <w:sz w:val="12"/>
          <w:szCs w:val="12"/>
        </w:rPr>
        <w:footnoteRef/>
      </w:r>
      <w:r w:rsidRPr="00661D84">
        <w:rPr>
          <w:sz w:val="12"/>
          <w:szCs w:val="12"/>
        </w:rPr>
        <w:t xml:space="preserve"> </w:t>
      </w:r>
      <w:hyperlink r:id="rId94" w:history="1">
        <w:r w:rsidRPr="00661D84">
          <w:rPr>
            <w:rStyle w:val="Hyperlink"/>
            <w:sz w:val="12"/>
            <w:szCs w:val="12"/>
          </w:rPr>
          <w:t>https://www.greenclimate.fund/sites/default/files/document/kyrgyzstan-nap-undp.pdf</w:t>
        </w:r>
      </w:hyperlink>
      <w:r w:rsidRPr="00287C85">
        <w:rPr>
          <w:sz w:val="14"/>
          <w:szCs w:val="14"/>
        </w:rPr>
        <w:t xml:space="preserve"> </w:t>
      </w:r>
    </w:p>
  </w:footnote>
  <w:footnote w:id="106">
    <w:p w14:paraId="3954D0D5" w14:textId="373481F1" w:rsidR="007943B2" w:rsidRPr="007943B2" w:rsidRDefault="007943B2">
      <w:pPr>
        <w:pStyle w:val="FootnoteText"/>
        <w:rPr>
          <w:sz w:val="14"/>
          <w:szCs w:val="14"/>
          <w:lang w:val="en-GB"/>
        </w:rPr>
      </w:pPr>
      <w:r w:rsidRPr="007943B2">
        <w:rPr>
          <w:rStyle w:val="FootnoteReference"/>
          <w:sz w:val="14"/>
          <w:szCs w:val="14"/>
        </w:rPr>
        <w:footnoteRef/>
      </w:r>
      <w:r w:rsidRPr="007943B2">
        <w:rPr>
          <w:sz w:val="14"/>
          <w:szCs w:val="14"/>
        </w:rPr>
        <w:t xml:space="preserve"> </w:t>
      </w:r>
      <w:hyperlink r:id="rId95" w:history="1">
        <w:r w:rsidRPr="007943B2">
          <w:rPr>
            <w:rStyle w:val="Hyperlink"/>
            <w:sz w:val="14"/>
            <w:szCs w:val="14"/>
          </w:rPr>
          <w:t>https://www.greenclimate.fund/sites/default/files/document/kgz004.pdf</w:t>
        </w:r>
      </w:hyperlink>
      <w:r w:rsidRPr="007943B2">
        <w:rPr>
          <w:sz w:val="14"/>
          <w:szCs w:val="14"/>
        </w:rPr>
        <w:t xml:space="preserve"> </w:t>
      </w:r>
    </w:p>
  </w:footnote>
  <w:footnote w:id="107">
    <w:p w14:paraId="7885FF26" w14:textId="3B458B61" w:rsidR="007974F9" w:rsidRPr="00A67D44" w:rsidRDefault="007974F9">
      <w:pPr>
        <w:pStyle w:val="FootnoteText"/>
        <w:rPr>
          <w:sz w:val="12"/>
          <w:szCs w:val="12"/>
        </w:rPr>
      </w:pPr>
      <w:r w:rsidRPr="00A67D44">
        <w:rPr>
          <w:rStyle w:val="FootnoteReference"/>
          <w:sz w:val="12"/>
          <w:szCs w:val="12"/>
        </w:rPr>
        <w:footnoteRef/>
      </w:r>
      <w:r w:rsidRPr="00A67D44">
        <w:rPr>
          <w:sz w:val="12"/>
          <w:szCs w:val="12"/>
        </w:rPr>
        <w:t xml:space="preserve"> UNDP. Strategic Financing for Biodiversity: BIOFIN's Impact on Kyrgyzstan's Conservation Efforts. </w:t>
      </w:r>
      <w:hyperlink r:id="rId96" w:history="1">
        <w:r w:rsidRPr="00A67D44">
          <w:rPr>
            <w:rStyle w:val="Hyperlink"/>
            <w:sz w:val="12"/>
            <w:szCs w:val="12"/>
          </w:rPr>
          <w:t>https://www.undp.org/kyrgyzstan/press-releases/strategic-financing-biodiversity-biofins-impact-kyrgyzstans-conservation-efforts</w:t>
        </w:r>
      </w:hyperlink>
      <w:r w:rsidRPr="00A67D44">
        <w:rPr>
          <w:sz w:val="12"/>
          <w:szCs w:val="12"/>
        </w:rPr>
        <w:t xml:space="preserve"> </w:t>
      </w:r>
    </w:p>
  </w:footnote>
  <w:footnote w:id="108">
    <w:p w14:paraId="3786C6C7" w14:textId="437F8716" w:rsidR="007974F9" w:rsidRPr="00661D84" w:rsidRDefault="007974F9">
      <w:pPr>
        <w:pStyle w:val="FootnoteText"/>
        <w:rPr>
          <w:sz w:val="12"/>
          <w:szCs w:val="12"/>
        </w:rPr>
      </w:pPr>
      <w:r w:rsidRPr="00661D84">
        <w:rPr>
          <w:rStyle w:val="FootnoteReference"/>
          <w:sz w:val="12"/>
          <w:szCs w:val="12"/>
        </w:rPr>
        <w:footnoteRef/>
      </w:r>
      <w:r w:rsidRPr="00661D84">
        <w:rPr>
          <w:sz w:val="12"/>
          <w:szCs w:val="12"/>
        </w:rPr>
        <w:t xml:space="preserve"> UNDP. 2023. PAGE accelerates policy reforms to promote green economy in Kyrgyzstan. </w:t>
      </w:r>
      <w:hyperlink r:id="rId97" w:history="1">
        <w:r w:rsidRPr="00661D84">
          <w:rPr>
            <w:rStyle w:val="Hyperlink"/>
            <w:sz w:val="12"/>
            <w:szCs w:val="12"/>
          </w:rPr>
          <w:t>https://www.undp.org/kyrgyzstan/press-releases/page-accelerates-policy-reforms-promote-green-economy-kyrgyzstan</w:t>
        </w:r>
      </w:hyperlink>
      <w:r w:rsidRPr="00661D84">
        <w:rPr>
          <w:sz w:val="12"/>
          <w:szCs w:val="12"/>
        </w:rPr>
        <w:t xml:space="preserve"> </w:t>
      </w:r>
    </w:p>
  </w:footnote>
  <w:footnote w:id="109">
    <w:p w14:paraId="094B4B45" w14:textId="358C9C95" w:rsidR="007974F9" w:rsidRPr="00661D84" w:rsidRDefault="007974F9">
      <w:pPr>
        <w:pStyle w:val="FootnoteText"/>
        <w:rPr>
          <w:sz w:val="12"/>
          <w:szCs w:val="12"/>
        </w:rPr>
      </w:pPr>
      <w:r w:rsidRPr="00661D84">
        <w:rPr>
          <w:rStyle w:val="FootnoteReference"/>
          <w:sz w:val="12"/>
          <w:szCs w:val="12"/>
        </w:rPr>
        <w:footnoteRef/>
      </w:r>
      <w:r w:rsidRPr="00661D84">
        <w:rPr>
          <w:sz w:val="12"/>
          <w:szCs w:val="12"/>
        </w:rPr>
        <w:t xml:space="preserve"> </w:t>
      </w:r>
      <w:hyperlink r:id="rId98" w:history="1">
        <w:r w:rsidRPr="00661D84">
          <w:rPr>
            <w:rStyle w:val="Hyperlink"/>
            <w:sz w:val="12"/>
            <w:szCs w:val="12"/>
          </w:rPr>
          <w:t>https://www.undp.org/kyrgyzstan/projects/partnership-actions-green-economy</w:t>
        </w:r>
      </w:hyperlink>
      <w:r w:rsidRPr="00661D84">
        <w:rPr>
          <w:sz w:val="12"/>
          <w:szCs w:val="12"/>
        </w:rPr>
        <w:t xml:space="preserve"> </w:t>
      </w:r>
    </w:p>
  </w:footnote>
  <w:footnote w:id="110">
    <w:p w14:paraId="3721B9CA" w14:textId="3C14C23D" w:rsidR="007974F9" w:rsidRPr="009F3376" w:rsidRDefault="007974F9">
      <w:pPr>
        <w:pStyle w:val="FootnoteText"/>
        <w:rPr>
          <w:sz w:val="12"/>
          <w:szCs w:val="12"/>
        </w:rPr>
      </w:pPr>
      <w:r w:rsidRPr="009F3376">
        <w:rPr>
          <w:rStyle w:val="FootnoteReference"/>
          <w:sz w:val="12"/>
          <w:szCs w:val="12"/>
        </w:rPr>
        <w:footnoteRef/>
      </w:r>
      <w:r w:rsidRPr="009F3376">
        <w:rPr>
          <w:sz w:val="12"/>
          <w:szCs w:val="12"/>
        </w:rPr>
        <w:t xml:space="preserve"> UNDP. UNDP in Kyrgyzstan supported the State Development Bank in the launch of a new product in the field of green financing. </w:t>
      </w:r>
      <w:hyperlink r:id="rId99" w:history="1">
        <w:r w:rsidRPr="009F3376">
          <w:rPr>
            <w:rStyle w:val="Hyperlink"/>
            <w:sz w:val="12"/>
            <w:szCs w:val="12"/>
          </w:rPr>
          <w:t>https://www.undp.org/kyrgyzstan/press-releases/undp-kyrgyzstan-supported-state-development-bank-launch-new-product-field-green-financing</w:t>
        </w:r>
      </w:hyperlink>
      <w:r w:rsidRPr="009F3376">
        <w:rPr>
          <w:sz w:val="12"/>
          <w:szCs w:val="12"/>
        </w:rPr>
        <w:t xml:space="preserve"> </w:t>
      </w:r>
    </w:p>
  </w:footnote>
  <w:footnote w:id="111">
    <w:p w14:paraId="2C34401C" w14:textId="265B5C74" w:rsidR="007974F9" w:rsidRPr="003D0D28" w:rsidRDefault="007974F9">
      <w:pPr>
        <w:pStyle w:val="FootnoteText"/>
        <w:rPr>
          <w:sz w:val="14"/>
          <w:szCs w:val="14"/>
        </w:rPr>
      </w:pPr>
      <w:r w:rsidRPr="00661D84">
        <w:rPr>
          <w:rStyle w:val="FootnoteReference"/>
          <w:sz w:val="12"/>
          <w:szCs w:val="12"/>
        </w:rPr>
        <w:footnoteRef/>
      </w:r>
      <w:r w:rsidRPr="00661D84">
        <w:rPr>
          <w:sz w:val="12"/>
          <w:szCs w:val="12"/>
        </w:rPr>
        <w:t xml:space="preserve"> </w:t>
      </w:r>
      <w:r w:rsidRPr="005E5ECC">
        <w:rPr>
          <w:sz w:val="12"/>
          <w:szCs w:val="12"/>
        </w:rPr>
        <w:t>USAID/Kyrgyz Republic Announced Launch of $24 Million Green Solutions Activity</w:t>
      </w:r>
      <w:r>
        <w:rPr>
          <w:sz w:val="12"/>
          <w:szCs w:val="12"/>
        </w:rPr>
        <w:t xml:space="preserve">. </w:t>
      </w:r>
      <w:hyperlink r:id="rId100" w:history="1">
        <w:r w:rsidRPr="00B5696C">
          <w:rPr>
            <w:rStyle w:val="Hyperlink"/>
            <w:sz w:val="12"/>
            <w:szCs w:val="12"/>
          </w:rPr>
          <w:t>https://kg.usembassy.gov/usaid-kyrgyz-republic-announced-launch-of-24-million-green-solutions-activity/</w:t>
        </w:r>
      </w:hyperlink>
      <w:r w:rsidRPr="003D0D28">
        <w:rPr>
          <w:sz w:val="14"/>
          <w:szCs w:val="14"/>
        </w:rPr>
        <w:t xml:space="preserve"> </w:t>
      </w:r>
    </w:p>
  </w:footnote>
  <w:footnote w:id="112">
    <w:p w14:paraId="5861889C" w14:textId="1C307900" w:rsidR="00AB785B" w:rsidRPr="00226B6C" w:rsidRDefault="00AB785B" w:rsidP="00226B6C">
      <w:pPr>
        <w:pStyle w:val="FootnoteText"/>
        <w:rPr>
          <w:sz w:val="12"/>
          <w:szCs w:val="12"/>
        </w:rPr>
      </w:pPr>
      <w:r w:rsidRPr="00226B6C">
        <w:rPr>
          <w:rStyle w:val="FootnoteReference"/>
          <w:sz w:val="12"/>
          <w:szCs w:val="12"/>
        </w:rPr>
        <w:footnoteRef/>
      </w:r>
      <w:r w:rsidRPr="00226B6C">
        <w:rPr>
          <w:sz w:val="12"/>
          <w:szCs w:val="12"/>
        </w:rPr>
        <w:t xml:space="preserve"> Climate Investment Programme Operational Framework for Managing and Accessing Climate Finance in the Kyrgyz Republic. </w:t>
      </w:r>
      <w:hyperlink r:id="rId101" w:history="1">
        <w:r w:rsidRPr="00226B6C">
          <w:rPr>
            <w:rStyle w:val="Hyperlink"/>
            <w:sz w:val="12"/>
            <w:szCs w:val="12"/>
          </w:rPr>
          <w:t>https://documents1.worldbank.org/curated/ar/788321558682372895/pdf/Climate-Investment-Programme-Operational-Framework-for-Managing-and-Accessing-Climate-Finance-in-the-Kyrgyz-Republic.pdf</w:t>
        </w:r>
      </w:hyperlink>
      <w:r w:rsidRPr="00226B6C">
        <w:rPr>
          <w:sz w:val="12"/>
          <w:szCs w:val="12"/>
        </w:rPr>
        <w:t xml:space="preserve"> </w:t>
      </w:r>
    </w:p>
  </w:footnote>
  <w:footnote w:id="113">
    <w:p w14:paraId="477991B6" w14:textId="09DDDAAD" w:rsidR="00AE6903" w:rsidRPr="00CA1FF2" w:rsidRDefault="00AE6903" w:rsidP="00CA1FF2">
      <w:pPr>
        <w:pStyle w:val="FootnoteText"/>
        <w:jc w:val="both"/>
        <w:rPr>
          <w:lang w:val="nl-NL"/>
        </w:rPr>
      </w:pPr>
      <w:r w:rsidRPr="00CA1FF2">
        <w:rPr>
          <w:rStyle w:val="FootnoteReference"/>
          <w:sz w:val="16"/>
          <w:szCs w:val="16"/>
        </w:rPr>
        <w:footnoteRef/>
      </w:r>
      <w:r w:rsidRPr="00CA1FF2">
        <w:rPr>
          <w:sz w:val="16"/>
          <w:szCs w:val="16"/>
          <w:lang w:val="nl-NL"/>
        </w:rPr>
        <w:t xml:space="preserve"> </w:t>
      </w:r>
      <w:r w:rsidR="007A6EA8" w:rsidRPr="00CA1FF2">
        <w:rPr>
          <w:sz w:val="16"/>
          <w:szCs w:val="16"/>
          <w:lang w:val="nl-NL"/>
        </w:rPr>
        <w:t xml:space="preserve"> </w:t>
      </w:r>
      <w:r w:rsidR="006B242D" w:rsidRPr="00CA1FF2">
        <w:rPr>
          <w:sz w:val="16"/>
          <w:szCs w:val="16"/>
          <w:lang w:val="nl-NL"/>
        </w:rPr>
        <w:t xml:space="preserve">E.g. </w:t>
      </w:r>
      <w:r w:rsidR="00261387" w:rsidRPr="00CA1FF2">
        <w:rPr>
          <w:sz w:val="16"/>
          <w:szCs w:val="16"/>
          <w:lang w:val="nl-NL"/>
        </w:rPr>
        <w:t>https://www.ifrs.org/issued-standards/ifrs-sustainability-standards-navigator/sustainability-pdf-collection/?language=en&amp;issue-type=%2Fcontent%2Fcq%3Atags%2Fifrs%2Fproduction%2Fissue-type%2Fissued&amp;year=2023&amp;layer=%2Fcontent%2Fcq%3Atags%2Fifrs%2Fproduction%2Fstandard-layer%2Fbase</w:t>
      </w:r>
    </w:p>
  </w:footnote>
  <w:footnote w:id="114">
    <w:p w14:paraId="33130F69" w14:textId="7A4DCC42" w:rsidR="009C5993" w:rsidRPr="00503DB1" w:rsidRDefault="009C5993" w:rsidP="009C5993">
      <w:pPr>
        <w:pStyle w:val="FootnoteText"/>
        <w:spacing w:after="120"/>
        <w:rPr>
          <w:rFonts w:cstheme="minorHAnsi"/>
          <w:sz w:val="18"/>
          <w:szCs w:val="18"/>
        </w:rPr>
      </w:pPr>
      <w:r w:rsidRPr="00503DB1">
        <w:rPr>
          <w:rStyle w:val="FootnoteReference"/>
          <w:rFonts w:cstheme="minorHAnsi"/>
          <w:sz w:val="18"/>
          <w:szCs w:val="18"/>
        </w:rPr>
        <w:footnoteRef/>
      </w:r>
      <w:r w:rsidRPr="00503DB1">
        <w:rPr>
          <w:rFonts w:cstheme="minorHAnsi"/>
          <w:sz w:val="18"/>
          <w:szCs w:val="18"/>
        </w:rPr>
        <w:t xml:space="preserve"> Risk categories can </w:t>
      </w:r>
      <w:r w:rsidR="00BE2B3D" w:rsidRPr="00503DB1">
        <w:rPr>
          <w:rFonts w:cstheme="minorHAnsi"/>
          <w:sz w:val="18"/>
          <w:szCs w:val="18"/>
        </w:rPr>
        <w:t>include</w:t>
      </w:r>
      <w:r w:rsidRPr="00503DB1">
        <w:rPr>
          <w:rFonts w:cstheme="minorHAnsi"/>
          <w:sz w:val="18"/>
          <w:szCs w:val="18"/>
        </w:rPr>
        <w:t xml:space="preserve"> Operational, Political, Stakeholder engagement, Implementation, Natural-hazards related disasters, Unsustainability, Compliance, Money laundering, terrorist financing and prohibited practices, etc.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3B10" w14:textId="53AF0A0F" w:rsidR="00AF446E" w:rsidRPr="00AF446E" w:rsidRDefault="0048348F" w:rsidP="00AF446E">
    <w:pPr>
      <w:pStyle w:val="Header"/>
      <w:jc w:val="right"/>
    </w:pPr>
    <w:r w:rsidRPr="0048348F">
      <w:t>READINESS AND PREPARATORY SUPPORT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4AA5" w14:textId="77777777" w:rsidR="009F644E" w:rsidRDefault="009F644E">
    <w:pPr>
      <w:pStyle w:val="Header"/>
    </w:pPr>
    <w:r>
      <w:rPr>
        <w:noProof/>
      </w:rPr>
      <w:drawing>
        <wp:anchor distT="0" distB="0" distL="114300" distR="114300" simplePos="0" relativeHeight="251658240" behindDoc="1" locked="0" layoutInCell="1" allowOverlap="1" wp14:anchorId="0148D898" wp14:editId="62A9F3BE">
          <wp:simplePos x="0" y="0"/>
          <wp:positionH relativeFrom="page">
            <wp:posOffset>0</wp:posOffset>
          </wp:positionH>
          <wp:positionV relativeFrom="page">
            <wp:posOffset>457200</wp:posOffset>
          </wp:positionV>
          <wp:extent cx="7538400" cy="10652400"/>
          <wp:effectExtent l="0" t="0" r="5715" b="3175"/>
          <wp:wrapNone/>
          <wp:docPr id="1" name="Picture 1" descr="A picture containing text, businesscar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 screensho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8B370" w14:textId="57583410" w:rsidR="0090590C" w:rsidRPr="0048348F" w:rsidRDefault="0048348F" w:rsidP="0048348F">
    <w:pPr>
      <w:pStyle w:val="Header"/>
      <w:rPr>
        <w:rStyle w:val="Strong"/>
        <w:b w:val="0"/>
        <w:bCs w:val="0"/>
      </w:rPr>
    </w:pPr>
    <w:r w:rsidRPr="0048348F">
      <w:rPr>
        <w:rStyle w:val="Strong"/>
        <w:b w:val="0"/>
        <w:bCs w:val="0"/>
      </w:rPr>
      <w:t>READINESS AND PREPARATORY SUPPORT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8A1"/>
    <w:multiLevelType w:val="hybridMultilevel"/>
    <w:tmpl w:val="8C8C70C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8E1362"/>
    <w:multiLevelType w:val="multilevel"/>
    <w:tmpl w:val="415E240A"/>
    <w:lvl w:ilvl="0">
      <w:start w:val="1"/>
      <w:numFmt w:val="decimal"/>
      <w:lvlText w:val="%1"/>
      <w:lvlJc w:val="left"/>
      <w:pPr>
        <w:ind w:left="370" w:hanging="370"/>
      </w:pPr>
      <w:rPr>
        <w:rFonts w:hint="default"/>
      </w:rPr>
    </w:lvl>
    <w:lvl w:ilvl="1">
      <w:start w:val="1"/>
      <w:numFmt w:val="decimal"/>
      <w:lvlText w:val="2.%2."/>
      <w:lvlJc w:val="left"/>
      <w:pPr>
        <w:ind w:left="360" w:hanging="36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862DD5"/>
    <w:multiLevelType w:val="hybridMultilevel"/>
    <w:tmpl w:val="F52C26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D202A2"/>
    <w:multiLevelType w:val="hybridMultilevel"/>
    <w:tmpl w:val="3E2EC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4428E7"/>
    <w:multiLevelType w:val="hybridMultilevel"/>
    <w:tmpl w:val="8DF0A7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B97E82"/>
    <w:multiLevelType w:val="hybridMultilevel"/>
    <w:tmpl w:val="4A1A4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C92D5D"/>
    <w:multiLevelType w:val="hybridMultilevel"/>
    <w:tmpl w:val="514E97F2"/>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DF4D5D"/>
    <w:multiLevelType w:val="hybridMultilevel"/>
    <w:tmpl w:val="77A688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FD4BB2"/>
    <w:multiLevelType w:val="hybridMultilevel"/>
    <w:tmpl w:val="6E88C5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C060C0"/>
    <w:multiLevelType w:val="hybridMultilevel"/>
    <w:tmpl w:val="F4B457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7F7B08"/>
    <w:multiLevelType w:val="hybridMultilevel"/>
    <w:tmpl w:val="7234A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BC3F66"/>
    <w:multiLevelType w:val="hybridMultilevel"/>
    <w:tmpl w:val="E0B4EBC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9EE4458"/>
    <w:multiLevelType w:val="hybridMultilevel"/>
    <w:tmpl w:val="2908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2305CB"/>
    <w:multiLevelType w:val="hybridMultilevel"/>
    <w:tmpl w:val="DBAE2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DA7865"/>
    <w:multiLevelType w:val="hybridMultilevel"/>
    <w:tmpl w:val="06D461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641873"/>
    <w:multiLevelType w:val="hybridMultilevel"/>
    <w:tmpl w:val="7068E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2376774"/>
    <w:multiLevelType w:val="hybridMultilevel"/>
    <w:tmpl w:val="28D608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A86DA2"/>
    <w:multiLevelType w:val="multilevel"/>
    <w:tmpl w:val="A9B640F2"/>
    <w:lvl w:ilvl="0">
      <w:start w:val="1"/>
      <w:numFmt w:val="decimal"/>
      <w:lvlText w:val="%1"/>
      <w:lvlJc w:val="left"/>
      <w:pPr>
        <w:ind w:left="370" w:hanging="370"/>
      </w:pPr>
      <w:rPr>
        <w:rFonts w:hint="default"/>
      </w:rPr>
    </w:lvl>
    <w:lvl w:ilvl="1">
      <w:start w:val="1"/>
      <w:numFmt w:val="decimal"/>
      <w:lvlText w:val="6.%2."/>
      <w:lvlJc w:val="left"/>
      <w:pPr>
        <w:ind w:left="360" w:hanging="36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E53BC9"/>
    <w:multiLevelType w:val="multilevel"/>
    <w:tmpl w:val="8B9E8EC0"/>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8593DEE"/>
    <w:multiLevelType w:val="hybridMultilevel"/>
    <w:tmpl w:val="647C59D6"/>
    <w:lvl w:ilvl="0" w:tplc="04090001">
      <w:start w:val="1"/>
      <w:numFmt w:val="bullet"/>
      <w:lvlText w:val=""/>
      <w:lvlJc w:val="left"/>
      <w:pPr>
        <w:ind w:left="360" w:hanging="360"/>
      </w:pPr>
      <w:rPr>
        <w:rFonts w:ascii="Symbol" w:hAnsi="Symbol" w:hint="default"/>
      </w:rPr>
    </w:lvl>
    <w:lvl w:ilvl="1" w:tplc="F636FC50">
      <w:start w:val="7"/>
      <w:numFmt w:val="bullet"/>
      <w:lvlText w:val="•"/>
      <w:lvlJc w:val="left"/>
      <w:pPr>
        <w:ind w:left="1440" w:hanging="720"/>
      </w:pPr>
      <w:rPr>
        <w:rFonts w:ascii="Aptos" w:eastAsiaTheme="minorHAnsi" w:hAnsi="Aptos"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BF3736F"/>
    <w:multiLevelType w:val="multilevel"/>
    <w:tmpl w:val="9B9AF406"/>
    <w:lvl w:ilvl="0">
      <w:start w:val="1"/>
      <w:numFmt w:val="decimal"/>
      <w:lvlText w:val="%1"/>
      <w:lvlJc w:val="left"/>
      <w:pPr>
        <w:ind w:left="370" w:hanging="370"/>
      </w:pPr>
      <w:rPr>
        <w:rFonts w:hint="default"/>
      </w:rPr>
    </w:lvl>
    <w:lvl w:ilvl="1">
      <w:start w:val="1"/>
      <w:numFmt w:val="decimal"/>
      <w:lvlText w:val="5.%2."/>
      <w:lvlJc w:val="left"/>
      <w:pPr>
        <w:ind w:left="360" w:hanging="36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C5D4519"/>
    <w:multiLevelType w:val="hybridMultilevel"/>
    <w:tmpl w:val="402AE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68B5077"/>
    <w:multiLevelType w:val="hybridMultilevel"/>
    <w:tmpl w:val="602E4A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D35135"/>
    <w:multiLevelType w:val="hybridMultilevel"/>
    <w:tmpl w:val="4B9AA39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0328E3"/>
    <w:multiLevelType w:val="multilevel"/>
    <w:tmpl w:val="69B0E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E4252A"/>
    <w:multiLevelType w:val="hybridMultilevel"/>
    <w:tmpl w:val="B8F64A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24B05C8"/>
    <w:multiLevelType w:val="hybridMultilevel"/>
    <w:tmpl w:val="F0C090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49544BC"/>
    <w:multiLevelType w:val="hybridMultilevel"/>
    <w:tmpl w:val="66DA4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4A7FBB"/>
    <w:multiLevelType w:val="hybridMultilevel"/>
    <w:tmpl w:val="1828F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D81BA5"/>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A9573BB"/>
    <w:multiLevelType w:val="multilevel"/>
    <w:tmpl w:val="5DB4242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B4718A9"/>
    <w:multiLevelType w:val="multilevel"/>
    <w:tmpl w:val="6610DEB8"/>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color w:val="276E8B"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F4A1CB3"/>
    <w:multiLevelType w:val="hybridMultilevel"/>
    <w:tmpl w:val="1A56C8DA"/>
    <w:lvl w:ilvl="0" w:tplc="EC52CBA8">
      <w:start w:val="1"/>
      <w:numFmt w:val="bullet"/>
      <w:lvlText w:val="o"/>
      <w:lvlJc w:val="left"/>
      <w:pPr>
        <w:ind w:left="1440" w:hanging="360"/>
      </w:pPr>
      <w:rPr>
        <w:rFonts w:ascii="Courier New" w:hAnsi="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097509">
    <w:abstractNumId w:val="29"/>
  </w:num>
  <w:num w:numId="2" w16cid:durableId="1493793502">
    <w:abstractNumId w:val="31"/>
  </w:num>
  <w:num w:numId="3" w16cid:durableId="1167674291">
    <w:abstractNumId w:val="1"/>
  </w:num>
  <w:num w:numId="4" w16cid:durableId="770587127">
    <w:abstractNumId w:val="20"/>
  </w:num>
  <w:num w:numId="5" w16cid:durableId="794062847">
    <w:abstractNumId w:val="17"/>
  </w:num>
  <w:num w:numId="6" w16cid:durableId="655495618">
    <w:abstractNumId w:val="32"/>
  </w:num>
  <w:num w:numId="7" w16cid:durableId="165557839">
    <w:abstractNumId w:val="11"/>
  </w:num>
  <w:num w:numId="8" w16cid:durableId="240218026">
    <w:abstractNumId w:val="6"/>
  </w:num>
  <w:num w:numId="9" w16cid:durableId="1351106836">
    <w:abstractNumId w:val="24"/>
  </w:num>
  <w:num w:numId="10" w16cid:durableId="1738167718">
    <w:abstractNumId w:val="2"/>
  </w:num>
  <w:num w:numId="11" w16cid:durableId="1268611218">
    <w:abstractNumId w:val="19"/>
  </w:num>
  <w:num w:numId="12" w16cid:durableId="1531724460">
    <w:abstractNumId w:val="7"/>
  </w:num>
  <w:num w:numId="13" w16cid:durableId="604045359">
    <w:abstractNumId w:val="13"/>
  </w:num>
  <w:num w:numId="14" w16cid:durableId="619992508">
    <w:abstractNumId w:val="16"/>
  </w:num>
  <w:num w:numId="15" w16cid:durableId="1713340183">
    <w:abstractNumId w:val="27"/>
  </w:num>
  <w:num w:numId="16" w16cid:durableId="366566135">
    <w:abstractNumId w:val="26"/>
  </w:num>
  <w:num w:numId="17" w16cid:durableId="1677686162">
    <w:abstractNumId w:val="9"/>
  </w:num>
  <w:num w:numId="18" w16cid:durableId="2125230394">
    <w:abstractNumId w:val="3"/>
  </w:num>
  <w:num w:numId="19" w16cid:durableId="1462651566">
    <w:abstractNumId w:val="12"/>
  </w:num>
  <w:num w:numId="20" w16cid:durableId="1291329164">
    <w:abstractNumId w:val="8"/>
  </w:num>
  <w:num w:numId="21" w16cid:durableId="117526439">
    <w:abstractNumId w:val="5"/>
  </w:num>
  <w:num w:numId="22" w16cid:durableId="700470581">
    <w:abstractNumId w:val="10"/>
  </w:num>
  <w:num w:numId="23" w16cid:durableId="1798639565">
    <w:abstractNumId w:val="25"/>
  </w:num>
  <w:num w:numId="24" w16cid:durableId="382099440">
    <w:abstractNumId w:val="21"/>
  </w:num>
  <w:num w:numId="25" w16cid:durableId="1164010911">
    <w:abstractNumId w:val="22"/>
  </w:num>
  <w:num w:numId="26" w16cid:durableId="1546721608">
    <w:abstractNumId w:val="4"/>
  </w:num>
  <w:num w:numId="27" w16cid:durableId="1737511062">
    <w:abstractNumId w:val="15"/>
  </w:num>
  <w:num w:numId="28" w16cid:durableId="199975157">
    <w:abstractNumId w:val="23"/>
  </w:num>
  <w:num w:numId="29" w16cid:durableId="798231059">
    <w:abstractNumId w:val="0"/>
  </w:num>
  <w:num w:numId="30" w16cid:durableId="1358435109">
    <w:abstractNumId w:val="14"/>
  </w:num>
  <w:num w:numId="31" w16cid:durableId="2136867176">
    <w:abstractNumId w:val="30"/>
  </w:num>
  <w:num w:numId="32" w16cid:durableId="2088915558">
    <w:abstractNumId w:val="18"/>
  </w:num>
  <w:num w:numId="33" w16cid:durableId="1382174981">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967"/>
    <w:rsid w:val="000005A2"/>
    <w:rsid w:val="00001472"/>
    <w:rsid w:val="00001BB9"/>
    <w:rsid w:val="00001D1B"/>
    <w:rsid w:val="000024D5"/>
    <w:rsid w:val="0000280E"/>
    <w:rsid w:val="0000291D"/>
    <w:rsid w:val="00003628"/>
    <w:rsid w:val="000036B2"/>
    <w:rsid w:val="0000376C"/>
    <w:rsid w:val="00003ED0"/>
    <w:rsid w:val="00003FCE"/>
    <w:rsid w:val="00004039"/>
    <w:rsid w:val="0000498E"/>
    <w:rsid w:val="00005B21"/>
    <w:rsid w:val="00006349"/>
    <w:rsid w:val="0000652C"/>
    <w:rsid w:val="00006564"/>
    <w:rsid w:val="0000690E"/>
    <w:rsid w:val="00006995"/>
    <w:rsid w:val="00006E3F"/>
    <w:rsid w:val="00006E6F"/>
    <w:rsid w:val="000075CE"/>
    <w:rsid w:val="000078AD"/>
    <w:rsid w:val="00007991"/>
    <w:rsid w:val="0001082A"/>
    <w:rsid w:val="00011184"/>
    <w:rsid w:val="00011623"/>
    <w:rsid w:val="00012477"/>
    <w:rsid w:val="000127A1"/>
    <w:rsid w:val="00013495"/>
    <w:rsid w:val="00013DC2"/>
    <w:rsid w:val="0001477E"/>
    <w:rsid w:val="00014C0C"/>
    <w:rsid w:val="000153E2"/>
    <w:rsid w:val="0001547A"/>
    <w:rsid w:val="00015B44"/>
    <w:rsid w:val="00016394"/>
    <w:rsid w:val="00016C0F"/>
    <w:rsid w:val="000178F6"/>
    <w:rsid w:val="00017F0C"/>
    <w:rsid w:val="00020335"/>
    <w:rsid w:val="000205BE"/>
    <w:rsid w:val="00020713"/>
    <w:rsid w:val="000207DD"/>
    <w:rsid w:val="00020947"/>
    <w:rsid w:val="000209BA"/>
    <w:rsid w:val="00020B12"/>
    <w:rsid w:val="00021696"/>
    <w:rsid w:val="000216F2"/>
    <w:rsid w:val="000225FC"/>
    <w:rsid w:val="00022789"/>
    <w:rsid w:val="00022821"/>
    <w:rsid w:val="00022F0F"/>
    <w:rsid w:val="00023445"/>
    <w:rsid w:val="00023B52"/>
    <w:rsid w:val="000241A0"/>
    <w:rsid w:val="00024F9F"/>
    <w:rsid w:val="000253D7"/>
    <w:rsid w:val="000255C9"/>
    <w:rsid w:val="00025662"/>
    <w:rsid w:val="00025D3B"/>
    <w:rsid w:val="00026A50"/>
    <w:rsid w:val="00030E61"/>
    <w:rsid w:val="00030FDC"/>
    <w:rsid w:val="00031117"/>
    <w:rsid w:val="00031516"/>
    <w:rsid w:val="00032067"/>
    <w:rsid w:val="000324BA"/>
    <w:rsid w:val="0003267A"/>
    <w:rsid w:val="00032C3C"/>
    <w:rsid w:val="00032EBB"/>
    <w:rsid w:val="00033325"/>
    <w:rsid w:val="000335C9"/>
    <w:rsid w:val="000344CA"/>
    <w:rsid w:val="0003487F"/>
    <w:rsid w:val="00034DCE"/>
    <w:rsid w:val="00035176"/>
    <w:rsid w:val="0003672D"/>
    <w:rsid w:val="00036F75"/>
    <w:rsid w:val="0003744B"/>
    <w:rsid w:val="00037B11"/>
    <w:rsid w:val="00037CBF"/>
    <w:rsid w:val="000404B5"/>
    <w:rsid w:val="0004152B"/>
    <w:rsid w:val="00041576"/>
    <w:rsid w:val="000417AE"/>
    <w:rsid w:val="000419F3"/>
    <w:rsid w:val="00042163"/>
    <w:rsid w:val="00042296"/>
    <w:rsid w:val="00042A59"/>
    <w:rsid w:val="00043686"/>
    <w:rsid w:val="000438E1"/>
    <w:rsid w:val="00043A27"/>
    <w:rsid w:val="00043E41"/>
    <w:rsid w:val="00044299"/>
    <w:rsid w:val="00044314"/>
    <w:rsid w:val="00044DBC"/>
    <w:rsid w:val="00044DF0"/>
    <w:rsid w:val="00045614"/>
    <w:rsid w:val="00045FB6"/>
    <w:rsid w:val="00046F73"/>
    <w:rsid w:val="0004713D"/>
    <w:rsid w:val="0004744F"/>
    <w:rsid w:val="00047485"/>
    <w:rsid w:val="0004770F"/>
    <w:rsid w:val="0004773A"/>
    <w:rsid w:val="00047C41"/>
    <w:rsid w:val="00047CE4"/>
    <w:rsid w:val="00050B58"/>
    <w:rsid w:val="00050D9A"/>
    <w:rsid w:val="00050E4D"/>
    <w:rsid w:val="0005109A"/>
    <w:rsid w:val="00051773"/>
    <w:rsid w:val="00052406"/>
    <w:rsid w:val="00052D21"/>
    <w:rsid w:val="00053D04"/>
    <w:rsid w:val="00054F39"/>
    <w:rsid w:val="0005558D"/>
    <w:rsid w:val="000561E5"/>
    <w:rsid w:val="0005646A"/>
    <w:rsid w:val="00056585"/>
    <w:rsid w:val="00056A8D"/>
    <w:rsid w:val="00056C69"/>
    <w:rsid w:val="00057401"/>
    <w:rsid w:val="0005785B"/>
    <w:rsid w:val="00060BC0"/>
    <w:rsid w:val="00060C50"/>
    <w:rsid w:val="00061616"/>
    <w:rsid w:val="0006170F"/>
    <w:rsid w:val="00061888"/>
    <w:rsid w:val="00061951"/>
    <w:rsid w:val="00061E3D"/>
    <w:rsid w:val="0006226F"/>
    <w:rsid w:val="00062C53"/>
    <w:rsid w:val="000630B9"/>
    <w:rsid w:val="000636D7"/>
    <w:rsid w:val="00064253"/>
    <w:rsid w:val="00064A84"/>
    <w:rsid w:val="00064B27"/>
    <w:rsid w:val="000658F2"/>
    <w:rsid w:val="000659E4"/>
    <w:rsid w:val="00065BBB"/>
    <w:rsid w:val="00065DDB"/>
    <w:rsid w:val="000662A5"/>
    <w:rsid w:val="00066600"/>
    <w:rsid w:val="00066B07"/>
    <w:rsid w:val="00067269"/>
    <w:rsid w:val="000677E5"/>
    <w:rsid w:val="00070586"/>
    <w:rsid w:val="000705CA"/>
    <w:rsid w:val="00070703"/>
    <w:rsid w:val="00070CF8"/>
    <w:rsid w:val="000716B7"/>
    <w:rsid w:val="00071CAE"/>
    <w:rsid w:val="00071DDC"/>
    <w:rsid w:val="00071EBE"/>
    <w:rsid w:val="000723F7"/>
    <w:rsid w:val="00072631"/>
    <w:rsid w:val="0007387A"/>
    <w:rsid w:val="0007415D"/>
    <w:rsid w:val="0007478D"/>
    <w:rsid w:val="00074DEF"/>
    <w:rsid w:val="00075C2D"/>
    <w:rsid w:val="000764B8"/>
    <w:rsid w:val="00076644"/>
    <w:rsid w:val="00076846"/>
    <w:rsid w:val="0007716D"/>
    <w:rsid w:val="000771B6"/>
    <w:rsid w:val="0008055A"/>
    <w:rsid w:val="00080C51"/>
    <w:rsid w:val="000812EE"/>
    <w:rsid w:val="000814AA"/>
    <w:rsid w:val="0008197E"/>
    <w:rsid w:val="00081D0C"/>
    <w:rsid w:val="00081DF5"/>
    <w:rsid w:val="000823CE"/>
    <w:rsid w:val="000833E0"/>
    <w:rsid w:val="000838CC"/>
    <w:rsid w:val="00083AD8"/>
    <w:rsid w:val="00083B09"/>
    <w:rsid w:val="0008473E"/>
    <w:rsid w:val="00085313"/>
    <w:rsid w:val="0008540A"/>
    <w:rsid w:val="00085437"/>
    <w:rsid w:val="00085A43"/>
    <w:rsid w:val="00085BA7"/>
    <w:rsid w:val="00085C3C"/>
    <w:rsid w:val="00086615"/>
    <w:rsid w:val="00086797"/>
    <w:rsid w:val="00086E76"/>
    <w:rsid w:val="00086EC6"/>
    <w:rsid w:val="00087005"/>
    <w:rsid w:val="00087613"/>
    <w:rsid w:val="00087BED"/>
    <w:rsid w:val="00087F11"/>
    <w:rsid w:val="0008DBC3"/>
    <w:rsid w:val="000902E0"/>
    <w:rsid w:val="0009072F"/>
    <w:rsid w:val="00090822"/>
    <w:rsid w:val="00091838"/>
    <w:rsid w:val="00091CF8"/>
    <w:rsid w:val="00093283"/>
    <w:rsid w:val="0009334B"/>
    <w:rsid w:val="00093886"/>
    <w:rsid w:val="00094051"/>
    <w:rsid w:val="00094223"/>
    <w:rsid w:val="0009478C"/>
    <w:rsid w:val="00094F46"/>
    <w:rsid w:val="00095155"/>
    <w:rsid w:val="00095E83"/>
    <w:rsid w:val="00095F90"/>
    <w:rsid w:val="0009626F"/>
    <w:rsid w:val="00096E99"/>
    <w:rsid w:val="00097024"/>
    <w:rsid w:val="000975C4"/>
    <w:rsid w:val="00097750"/>
    <w:rsid w:val="00097DA3"/>
    <w:rsid w:val="00097FEB"/>
    <w:rsid w:val="000A0345"/>
    <w:rsid w:val="000A0980"/>
    <w:rsid w:val="000A0FB9"/>
    <w:rsid w:val="000A12EA"/>
    <w:rsid w:val="000A163E"/>
    <w:rsid w:val="000A17CB"/>
    <w:rsid w:val="000A18CE"/>
    <w:rsid w:val="000A1D21"/>
    <w:rsid w:val="000A1DCE"/>
    <w:rsid w:val="000A20ED"/>
    <w:rsid w:val="000A246A"/>
    <w:rsid w:val="000A25A9"/>
    <w:rsid w:val="000A2AE9"/>
    <w:rsid w:val="000A2D4C"/>
    <w:rsid w:val="000A2F09"/>
    <w:rsid w:val="000A30DE"/>
    <w:rsid w:val="000A3429"/>
    <w:rsid w:val="000A37A0"/>
    <w:rsid w:val="000A3A69"/>
    <w:rsid w:val="000A3F8E"/>
    <w:rsid w:val="000A3FC8"/>
    <w:rsid w:val="000A416C"/>
    <w:rsid w:val="000A41C8"/>
    <w:rsid w:val="000A430E"/>
    <w:rsid w:val="000A4BDC"/>
    <w:rsid w:val="000A4D61"/>
    <w:rsid w:val="000A4E35"/>
    <w:rsid w:val="000A4F43"/>
    <w:rsid w:val="000A53F7"/>
    <w:rsid w:val="000A59C1"/>
    <w:rsid w:val="000A63EC"/>
    <w:rsid w:val="000A6513"/>
    <w:rsid w:val="000A789F"/>
    <w:rsid w:val="000A7B8F"/>
    <w:rsid w:val="000B1826"/>
    <w:rsid w:val="000B1CD1"/>
    <w:rsid w:val="000B1CD6"/>
    <w:rsid w:val="000B2241"/>
    <w:rsid w:val="000B28BB"/>
    <w:rsid w:val="000B2DB9"/>
    <w:rsid w:val="000B3ABB"/>
    <w:rsid w:val="000B3B72"/>
    <w:rsid w:val="000B44B1"/>
    <w:rsid w:val="000B48DA"/>
    <w:rsid w:val="000B4DA0"/>
    <w:rsid w:val="000B4E19"/>
    <w:rsid w:val="000B5315"/>
    <w:rsid w:val="000B53DE"/>
    <w:rsid w:val="000B6995"/>
    <w:rsid w:val="000B6BC0"/>
    <w:rsid w:val="000B70CA"/>
    <w:rsid w:val="000B7265"/>
    <w:rsid w:val="000B7388"/>
    <w:rsid w:val="000B7B2F"/>
    <w:rsid w:val="000B7D93"/>
    <w:rsid w:val="000C0052"/>
    <w:rsid w:val="000C0209"/>
    <w:rsid w:val="000C0283"/>
    <w:rsid w:val="000C0831"/>
    <w:rsid w:val="000C09EC"/>
    <w:rsid w:val="000C140A"/>
    <w:rsid w:val="000C1AE5"/>
    <w:rsid w:val="000C1D30"/>
    <w:rsid w:val="000C2BB7"/>
    <w:rsid w:val="000C2C32"/>
    <w:rsid w:val="000C2EDE"/>
    <w:rsid w:val="000C3606"/>
    <w:rsid w:val="000C4721"/>
    <w:rsid w:val="000C4733"/>
    <w:rsid w:val="000C48DF"/>
    <w:rsid w:val="000C50D9"/>
    <w:rsid w:val="000C51C7"/>
    <w:rsid w:val="000C5422"/>
    <w:rsid w:val="000C5AF0"/>
    <w:rsid w:val="000C5B30"/>
    <w:rsid w:val="000C604C"/>
    <w:rsid w:val="000C6535"/>
    <w:rsid w:val="000C6AFB"/>
    <w:rsid w:val="000C6E8B"/>
    <w:rsid w:val="000C6FC3"/>
    <w:rsid w:val="000C7952"/>
    <w:rsid w:val="000D0293"/>
    <w:rsid w:val="000D09DA"/>
    <w:rsid w:val="000D0A73"/>
    <w:rsid w:val="000D0C62"/>
    <w:rsid w:val="000D0CC1"/>
    <w:rsid w:val="000D0E93"/>
    <w:rsid w:val="000D1724"/>
    <w:rsid w:val="000D222C"/>
    <w:rsid w:val="000D230E"/>
    <w:rsid w:val="000D27CA"/>
    <w:rsid w:val="000D2DE1"/>
    <w:rsid w:val="000D39F3"/>
    <w:rsid w:val="000D3E2D"/>
    <w:rsid w:val="000D431D"/>
    <w:rsid w:val="000D4703"/>
    <w:rsid w:val="000D4910"/>
    <w:rsid w:val="000D4A02"/>
    <w:rsid w:val="000D5023"/>
    <w:rsid w:val="000D5AC9"/>
    <w:rsid w:val="000D6832"/>
    <w:rsid w:val="000D6BEF"/>
    <w:rsid w:val="000D6E47"/>
    <w:rsid w:val="000D79DF"/>
    <w:rsid w:val="000D7A6B"/>
    <w:rsid w:val="000D7ABC"/>
    <w:rsid w:val="000E08CA"/>
    <w:rsid w:val="000E14EA"/>
    <w:rsid w:val="000E1CB6"/>
    <w:rsid w:val="000E2330"/>
    <w:rsid w:val="000E2655"/>
    <w:rsid w:val="000E284B"/>
    <w:rsid w:val="000E28BE"/>
    <w:rsid w:val="000E29F5"/>
    <w:rsid w:val="000E2CA5"/>
    <w:rsid w:val="000E2E08"/>
    <w:rsid w:val="000E35B8"/>
    <w:rsid w:val="000E3761"/>
    <w:rsid w:val="000E3917"/>
    <w:rsid w:val="000E3DD0"/>
    <w:rsid w:val="000E51DA"/>
    <w:rsid w:val="000E5383"/>
    <w:rsid w:val="000E551E"/>
    <w:rsid w:val="000E55F2"/>
    <w:rsid w:val="000E5A3D"/>
    <w:rsid w:val="000E6917"/>
    <w:rsid w:val="000E72EB"/>
    <w:rsid w:val="000E7C59"/>
    <w:rsid w:val="000E7CA8"/>
    <w:rsid w:val="000E7D41"/>
    <w:rsid w:val="000E7EA4"/>
    <w:rsid w:val="000E7F6A"/>
    <w:rsid w:val="000F0796"/>
    <w:rsid w:val="000F1445"/>
    <w:rsid w:val="000F191C"/>
    <w:rsid w:val="000F1927"/>
    <w:rsid w:val="000F1D01"/>
    <w:rsid w:val="000F2360"/>
    <w:rsid w:val="000F2822"/>
    <w:rsid w:val="000F3486"/>
    <w:rsid w:val="000F3582"/>
    <w:rsid w:val="000F37DE"/>
    <w:rsid w:val="000F38D9"/>
    <w:rsid w:val="000F39A9"/>
    <w:rsid w:val="000F3BBF"/>
    <w:rsid w:val="000F4406"/>
    <w:rsid w:val="000F462D"/>
    <w:rsid w:val="000F51CB"/>
    <w:rsid w:val="000F525F"/>
    <w:rsid w:val="000F5654"/>
    <w:rsid w:val="000F5A7D"/>
    <w:rsid w:val="000F6128"/>
    <w:rsid w:val="000F6993"/>
    <w:rsid w:val="000F6F64"/>
    <w:rsid w:val="000F70E0"/>
    <w:rsid w:val="000F7152"/>
    <w:rsid w:val="000F75BB"/>
    <w:rsid w:val="000F7702"/>
    <w:rsid w:val="000F7866"/>
    <w:rsid w:val="000F8027"/>
    <w:rsid w:val="0010052D"/>
    <w:rsid w:val="001005C7"/>
    <w:rsid w:val="0010161C"/>
    <w:rsid w:val="0010204F"/>
    <w:rsid w:val="0010206A"/>
    <w:rsid w:val="0010210A"/>
    <w:rsid w:val="00102F36"/>
    <w:rsid w:val="00103A3B"/>
    <w:rsid w:val="00103C56"/>
    <w:rsid w:val="00103CEF"/>
    <w:rsid w:val="001041B3"/>
    <w:rsid w:val="001042B0"/>
    <w:rsid w:val="00104348"/>
    <w:rsid w:val="00104E3A"/>
    <w:rsid w:val="00105313"/>
    <w:rsid w:val="00105420"/>
    <w:rsid w:val="00106835"/>
    <w:rsid w:val="0010696F"/>
    <w:rsid w:val="00106BD1"/>
    <w:rsid w:val="00106BE5"/>
    <w:rsid w:val="00107811"/>
    <w:rsid w:val="00107A8F"/>
    <w:rsid w:val="00107BA1"/>
    <w:rsid w:val="00107CF6"/>
    <w:rsid w:val="00110624"/>
    <w:rsid w:val="00110A7D"/>
    <w:rsid w:val="00111255"/>
    <w:rsid w:val="001117D2"/>
    <w:rsid w:val="00111929"/>
    <w:rsid w:val="00111DD2"/>
    <w:rsid w:val="00112310"/>
    <w:rsid w:val="00112742"/>
    <w:rsid w:val="0011299F"/>
    <w:rsid w:val="00113340"/>
    <w:rsid w:val="00114101"/>
    <w:rsid w:val="00114BD9"/>
    <w:rsid w:val="00114EC6"/>
    <w:rsid w:val="00114ED0"/>
    <w:rsid w:val="00115CE7"/>
    <w:rsid w:val="00116289"/>
    <w:rsid w:val="00116E3A"/>
    <w:rsid w:val="0012016E"/>
    <w:rsid w:val="001208AE"/>
    <w:rsid w:val="00120D38"/>
    <w:rsid w:val="001210E3"/>
    <w:rsid w:val="001216EC"/>
    <w:rsid w:val="00121753"/>
    <w:rsid w:val="00121D65"/>
    <w:rsid w:val="001228B0"/>
    <w:rsid w:val="00122CD0"/>
    <w:rsid w:val="00122E0A"/>
    <w:rsid w:val="001230A1"/>
    <w:rsid w:val="0012338D"/>
    <w:rsid w:val="00123B5F"/>
    <w:rsid w:val="00123E3A"/>
    <w:rsid w:val="00123F09"/>
    <w:rsid w:val="001252FB"/>
    <w:rsid w:val="00125B2A"/>
    <w:rsid w:val="00125DFE"/>
    <w:rsid w:val="0012625D"/>
    <w:rsid w:val="001264B5"/>
    <w:rsid w:val="00126878"/>
    <w:rsid w:val="00126A06"/>
    <w:rsid w:val="0012708A"/>
    <w:rsid w:val="00127270"/>
    <w:rsid w:val="0012763C"/>
    <w:rsid w:val="00127D2C"/>
    <w:rsid w:val="001301E2"/>
    <w:rsid w:val="001304CA"/>
    <w:rsid w:val="00130AB4"/>
    <w:rsid w:val="00130E13"/>
    <w:rsid w:val="00130F13"/>
    <w:rsid w:val="00131845"/>
    <w:rsid w:val="00131B4F"/>
    <w:rsid w:val="0013207A"/>
    <w:rsid w:val="00133067"/>
    <w:rsid w:val="00133480"/>
    <w:rsid w:val="001340F8"/>
    <w:rsid w:val="001345F2"/>
    <w:rsid w:val="00134782"/>
    <w:rsid w:val="001349F7"/>
    <w:rsid w:val="00134A00"/>
    <w:rsid w:val="00134A70"/>
    <w:rsid w:val="00134EC6"/>
    <w:rsid w:val="00135714"/>
    <w:rsid w:val="0013671D"/>
    <w:rsid w:val="00136720"/>
    <w:rsid w:val="00136F8C"/>
    <w:rsid w:val="00137033"/>
    <w:rsid w:val="00137352"/>
    <w:rsid w:val="00137432"/>
    <w:rsid w:val="00140196"/>
    <w:rsid w:val="00140D50"/>
    <w:rsid w:val="00140F34"/>
    <w:rsid w:val="0014131A"/>
    <w:rsid w:val="0014167A"/>
    <w:rsid w:val="00141855"/>
    <w:rsid w:val="0014194D"/>
    <w:rsid w:val="00141C1B"/>
    <w:rsid w:val="0014288D"/>
    <w:rsid w:val="00142B60"/>
    <w:rsid w:val="00143068"/>
    <w:rsid w:val="00143146"/>
    <w:rsid w:val="00143677"/>
    <w:rsid w:val="001436E7"/>
    <w:rsid w:val="001439FC"/>
    <w:rsid w:val="00144552"/>
    <w:rsid w:val="00144641"/>
    <w:rsid w:val="00144C69"/>
    <w:rsid w:val="00145115"/>
    <w:rsid w:val="001454E1"/>
    <w:rsid w:val="0014587B"/>
    <w:rsid w:val="001459C6"/>
    <w:rsid w:val="00145C68"/>
    <w:rsid w:val="00145DE4"/>
    <w:rsid w:val="00146332"/>
    <w:rsid w:val="00147786"/>
    <w:rsid w:val="00147A34"/>
    <w:rsid w:val="00147AD8"/>
    <w:rsid w:val="00150DE0"/>
    <w:rsid w:val="001510A8"/>
    <w:rsid w:val="0015115E"/>
    <w:rsid w:val="00152123"/>
    <w:rsid w:val="0015267D"/>
    <w:rsid w:val="001531DC"/>
    <w:rsid w:val="00153396"/>
    <w:rsid w:val="0015351F"/>
    <w:rsid w:val="00153D07"/>
    <w:rsid w:val="001543B7"/>
    <w:rsid w:val="00155D61"/>
    <w:rsid w:val="00157861"/>
    <w:rsid w:val="001579AF"/>
    <w:rsid w:val="00157D08"/>
    <w:rsid w:val="001600AA"/>
    <w:rsid w:val="0016058E"/>
    <w:rsid w:val="0016094C"/>
    <w:rsid w:val="00160997"/>
    <w:rsid w:val="00160DE5"/>
    <w:rsid w:val="00160E91"/>
    <w:rsid w:val="001616E7"/>
    <w:rsid w:val="00161E5B"/>
    <w:rsid w:val="00162612"/>
    <w:rsid w:val="00162BCC"/>
    <w:rsid w:val="00162CEA"/>
    <w:rsid w:val="00162D1D"/>
    <w:rsid w:val="00162FAD"/>
    <w:rsid w:val="00163FD5"/>
    <w:rsid w:val="0016411B"/>
    <w:rsid w:val="001645E2"/>
    <w:rsid w:val="0016530A"/>
    <w:rsid w:val="00165918"/>
    <w:rsid w:val="00165FE0"/>
    <w:rsid w:val="00166400"/>
    <w:rsid w:val="00166BA7"/>
    <w:rsid w:val="00166C40"/>
    <w:rsid w:val="00166D5C"/>
    <w:rsid w:val="001671EB"/>
    <w:rsid w:val="00167AF0"/>
    <w:rsid w:val="00170437"/>
    <w:rsid w:val="00170E54"/>
    <w:rsid w:val="00170EF5"/>
    <w:rsid w:val="00171178"/>
    <w:rsid w:val="001721F2"/>
    <w:rsid w:val="001722E8"/>
    <w:rsid w:val="001725D5"/>
    <w:rsid w:val="00172897"/>
    <w:rsid w:val="00172AF5"/>
    <w:rsid w:val="00172FFE"/>
    <w:rsid w:val="001731B3"/>
    <w:rsid w:val="00173838"/>
    <w:rsid w:val="00173872"/>
    <w:rsid w:val="00173A29"/>
    <w:rsid w:val="001745F6"/>
    <w:rsid w:val="00174B0D"/>
    <w:rsid w:val="00175728"/>
    <w:rsid w:val="00175B48"/>
    <w:rsid w:val="00175B4D"/>
    <w:rsid w:val="00176608"/>
    <w:rsid w:val="00176924"/>
    <w:rsid w:val="00176973"/>
    <w:rsid w:val="00176FF9"/>
    <w:rsid w:val="0017719A"/>
    <w:rsid w:val="00177BA3"/>
    <w:rsid w:val="00177EED"/>
    <w:rsid w:val="0018015D"/>
    <w:rsid w:val="00180253"/>
    <w:rsid w:val="00180F5F"/>
    <w:rsid w:val="001815A7"/>
    <w:rsid w:val="00181B7E"/>
    <w:rsid w:val="00182AA0"/>
    <w:rsid w:val="00183084"/>
    <w:rsid w:val="00183135"/>
    <w:rsid w:val="001834AC"/>
    <w:rsid w:val="001838DE"/>
    <w:rsid w:val="00183D3E"/>
    <w:rsid w:val="00183E8A"/>
    <w:rsid w:val="00184B22"/>
    <w:rsid w:val="00184C46"/>
    <w:rsid w:val="00185ADA"/>
    <w:rsid w:val="00185E9E"/>
    <w:rsid w:val="001861C0"/>
    <w:rsid w:val="00186943"/>
    <w:rsid w:val="00186ACB"/>
    <w:rsid w:val="00186D2D"/>
    <w:rsid w:val="00187157"/>
    <w:rsid w:val="001872C4"/>
    <w:rsid w:val="001875C3"/>
    <w:rsid w:val="00187A6A"/>
    <w:rsid w:val="00187E14"/>
    <w:rsid w:val="001904A0"/>
    <w:rsid w:val="00190C77"/>
    <w:rsid w:val="00191006"/>
    <w:rsid w:val="00191663"/>
    <w:rsid w:val="00191ABB"/>
    <w:rsid w:val="00191BE8"/>
    <w:rsid w:val="00191EA9"/>
    <w:rsid w:val="00192403"/>
    <w:rsid w:val="001924EA"/>
    <w:rsid w:val="00192813"/>
    <w:rsid w:val="00192F1F"/>
    <w:rsid w:val="00192F8E"/>
    <w:rsid w:val="00193524"/>
    <w:rsid w:val="00193EFC"/>
    <w:rsid w:val="00193F15"/>
    <w:rsid w:val="001956C9"/>
    <w:rsid w:val="00195D92"/>
    <w:rsid w:val="00195DED"/>
    <w:rsid w:val="00195E69"/>
    <w:rsid w:val="00195EAF"/>
    <w:rsid w:val="001976B6"/>
    <w:rsid w:val="00197A88"/>
    <w:rsid w:val="001A1387"/>
    <w:rsid w:val="001A15AF"/>
    <w:rsid w:val="001A18C9"/>
    <w:rsid w:val="001A1A8A"/>
    <w:rsid w:val="001A227B"/>
    <w:rsid w:val="001A23A1"/>
    <w:rsid w:val="001A2564"/>
    <w:rsid w:val="001A2592"/>
    <w:rsid w:val="001A25D9"/>
    <w:rsid w:val="001A26C2"/>
    <w:rsid w:val="001A2D71"/>
    <w:rsid w:val="001A33F5"/>
    <w:rsid w:val="001A399A"/>
    <w:rsid w:val="001A47E8"/>
    <w:rsid w:val="001A5555"/>
    <w:rsid w:val="001A571C"/>
    <w:rsid w:val="001A6467"/>
    <w:rsid w:val="001A6C64"/>
    <w:rsid w:val="001A6D55"/>
    <w:rsid w:val="001A72D1"/>
    <w:rsid w:val="001A76A4"/>
    <w:rsid w:val="001A79C9"/>
    <w:rsid w:val="001B0196"/>
    <w:rsid w:val="001B023A"/>
    <w:rsid w:val="001B20A7"/>
    <w:rsid w:val="001B280E"/>
    <w:rsid w:val="001B29DC"/>
    <w:rsid w:val="001B30BE"/>
    <w:rsid w:val="001B31F1"/>
    <w:rsid w:val="001B4082"/>
    <w:rsid w:val="001B51A5"/>
    <w:rsid w:val="001B5B1E"/>
    <w:rsid w:val="001B5ED5"/>
    <w:rsid w:val="001B644B"/>
    <w:rsid w:val="001B64C8"/>
    <w:rsid w:val="001B65C2"/>
    <w:rsid w:val="001B686D"/>
    <w:rsid w:val="001B6EAE"/>
    <w:rsid w:val="001B70BA"/>
    <w:rsid w:val="001B70FB"/>
    <w:rsid w:val="001B76A8"/>
    <w:rsid w:val="001B7881"/>
    <w:rsid w:val="001B799F"/>
    <w:rsid w:val="001C0492"/>
    <w:rsid w:val="001C0756"/>
    <w:rsid w:val="001C0B13"/>
    <w:rsid w:val="001C0B94"/>
    <w:rsid w:val="001C10D1"/>
    <w:rsid w:val="001C11BA"/>
    <w:rsid w:val="001C17C9"/>
    <w:rsid w:val="001C1C98"/>
    <w:rsid w:val="001C1FF8"/>
    <w:rsid w:val="001C21F9"/>
    <w:rsid w:val="001C27AE"/>
    <w:rsid w:val="001C291D"/>
    <w:rsid w:val="001C32C5"/>
    <w:rsid w:val="001C3FDD"/>
    <w:rsid w:val="001C4117"/>
    <w:rsid w:val="001C4413"/>
    <w:rsid w:val="001C45DB"/>
    <w:rsid w:val="001C4A0B"/>
    <w:rsid w:val="001C5C1F"/>
    <w:rsid w:val="001C5C67"/>
    <w:rsid w:val="001C5CB9"/>
    <w:rsid w:val="001C5E74"/>
    <w:rsid w:val="001C62F7"/>
    <w:rsid w:val="001C6570"/>
    <w:rsid w:val="001C65E8"/>
    <w:rsid w:val="001C7048"/>
    <w:rsid w:val="001C7538"/>
    <w:rsid w:val="001C763D"/>
    <w:rsid w:val="001D0136"/>
    <w:rsid w:val="001D055D"/>
    <w:rsid w:val="001D08B7"/>
    <w:rsid w:val="001D0DD7"/>
    <w:rsid w:val="001D1C69"/>
    <w:rsid w:val="001D1EBD"/>
    <w:rsid w:val="001D2BA5"/>
    <w:rsid w:val="001D2CC4"/>
    <w:rsid w:val="001D43FC"/>
    <w:rsid w:val="001D452B"/>
    <w:rsid w:val="001D4E25"/>
    <w:rsid w:val="001D5083"/>
    <w:rsid w:val="001D511C"/>
    <w:rsid w:val="001D579F"/>
    <w:rsid w:val="001D5FEB"/>
    <w:rsid w:val="001D6560"/>
    <w:rsid w:val="001D658F"/>
    <w:rsid w:val="001D65EB"/>
    <w:rsid w:val="001D6727"/>
    <w:rsid w:val="001D6834"/>
    <w:rsid w:val="001D6AAB"/>
    <w:rsid w:val="001D6B43"/>
    <w:rsid w:val="001D7211"/>
    <w:rsid w:val="001D739E"/>
    <w:rsid w:val="001D77F4"/>
    <w:rsid w:val="001D7DEE"/>
    <w:rsid w:val="001D7F38"/>
    <w:rsid w:val="001E15E3"/>
    <w:rsid w:val="001E1F7F"/>
    <w:rsid w:val="001E23C1"/>
    <w:rsid w:val="001E29FD"/>
    <w:rsid w:val="001E2B4C"/>
    <w:rsid w:val="001E2EE8"/>
    <w:rsid w:val="001E42CA"/>
    <w:rsid w:val="001E48F4"/>
    <w:rsid w:val="001E571E"/>
    <w:rsid w:val="001E5984"/>
    <w:rsid w:val="001E60A0"/>
    <w:rsid w:val="001E62F1"/>
    <w:rsid w:val="001E681B"/>
    <w:rsid w:val="001E705F"/>
    <w:rsid w:val="001E7997"/>
    <w:rsid w:val="001E7F46"/>
    <w:rsid w:val="001F0265"/>
    <w:rsid w:val="001F0581"/>
    <w:rsid w:val="001F0C23"/>
    <w:rsid w:val="001F0F0E"/>
    <w:rsid w:val="001F17A1"/>
    <w:rsid w:val="001F1FFD"/>
    <w:rsid w:val="001F2C92"/>
    <w:rsid w:val="001F300B"/>
    <w:rsid w:val="001F3157"/>
    <w:rsid w:val="001F321F"/>
    <w:rsid w:val="001F35CE"/>
    <w:rsid w:val="001F39AE"/>
    <w:rsid w:val="001F3C08"/>
    <w:rsid w:val="001F4012"/>
    <w:rsid w:val="001F44CB"/>
    <w:rsid w:val="001F4659"/>
    <w:rsid w:val="001F47BF"/>
    <w:rsid w:val="001F52A3"/>
    <w:rsid w:val="001F5677"/>
    <w:rsid w:val="001F6092"/>
    <w:rsid w:val="001F662C"/>
    <w:rsid w:val="001F6699"/>
    <w:rsid w:val="001F6B5A"/>
    <w:rsid w:val="001F6E18"/>
    <w:rsid w:val="001F6EDE"/>
    <w:rsid w:val="001F6F38"/>
    <w:rsid w:val="001F737E"/>
    <w:rsid w:val="001F767A"/>
    <w:rsid w:val="001F789C"/>
    <w:rsid w:val="0020000D"/>
    <w:rsid w:val="00200117"/>
    <w:rsid w:val="00200BD9"/>
    <w:rsid w:val="00200C8C"/>
    <w:rsid w:val="00200E84"/>
    <w:rsid w:val="00201053"/>
    <w:rsid w:val="002011A2"/>
    <w:rsid w:val="00201356"/>
    <w:rsid w:val="002013B0"/>
    <w:rsid w:val="002015A9"/>
    <w:rsid w:val="002017A5"/>
    <w:rsid w:val="00201A04"/>
    <w:rsid w:val="00201D20"/>
    <w:rsid w:val="00201E90"/>
    <w:rsid w:val="002031CE"/>
    <w:rsid w:val="00203286"/>
    <w:rsid w:val="002033C1"/>
    <w:rsid w:val="00203B19"/>
    <w:rsid w:val="00203EE3"/>
    <w:rsid w:val="00204B4A"/>
    <w:rsid w:val="00204F04"/>
    <w:rsid w:val="00204F59"/>
    <w:rsid w:val="00205248"/>
    <w:rsid w:val="00205D4A"/>
    <w:rsid w:val="0020614D"/>
    <w:rsid w:val="002063BF"/>
    <w:rsid w:val="0020665D"/>
    <w:rsid w:val="00206A9E"/>
    <w:rsid w:val="00207908"/>
    <w:rsid w:val="00207988"/>
    <w:rsid w:val="00207CD9"/>
    <w:rsid w:val="00207E08"/>
    <w:rsid w:val="00207E73"/>
    <w:rsid w:val="002100B9"/>
    <w:rsid w:val="00210D36"/>
    <w:rsid w:val="00210ED3"/>
    <w:rsid w:val="00211432"/>
    <w:rsid w:val="00211F7D"/>
    <w:rsid w:val="00212567"/>
    <w:rsid w:val="00212BF3"/>
    <w:rsid w:val="00212CA3"/>
    <w:rsid w:val="00212EBF"/>
    <w:rsid w:val="00212EE3"/>
    <w:rsid w:val="0021332D"/>
    <w:rsid w:val="00214148"/>
    <w:rsid w:val="00214469"/>
    <w:rsid w:val="002146FC"/>
    <w:rsid w:val="002149D8"/>
    <w:rsid w:val="002153D2"/>
    <w:rsid w:val="00216A97"/>
    <w:rsid w:val="00216DB0"/>
    <w:rsid w:val="0021723C"/>
    <w:rsid w:val="00217856"/>
    <w:rsid w:val="0022070D"/>
    <w:rsid w:val="002211CB"/>
    <w:rsid w:val="00221424"/>
    <w:rsid w:val="00221594"/>
    <w:rsid w:val="00222191"/>
    <w:rsid w:val="002226FF"/>
    <w:rsid w:val="0022290A"/>
    <w:rsid w:val="0022290D"/>
    <w:rsid w:val="00222DC4"/>
    <w:rsid w:val="00223281"/>
    <w:rsid w:val="002237BD"/>
    <w:rsid w:val="00223CCA"/>
    <w:rsid w:val="00223D3C"/>
    <w:rsid w:val="0022415D"/>
    <w:rsid w:val="0022427D"/>
    <w:rsid w:val="00224730"/>
    <w:rsid w:val="0022532A"/>
    <w:rsid w:val="002254A8"/>
    <w:rsid w:val="0022562D"/>
    <w:rsid w:val="002257DA"/>
    <w:rsid w:val="00225D8F"/>
    <w:rsid w:val="00225E54"/>
    <w:rsid w:val="00226855"/>
    <w:rsid w:val="00226B6C"/>
    <w:rsid w:val="002271B1"/>
    <w:rsid w:val="002278D7"/>
    <w:rsid w:val="002312F1"/>
    <w:rsid w:val="00231C50"/>
    <w:rsid w:val="00231D4A"/>
    <w:rsid w:val="00232343"/>
    <w:rsid w:val="00232361"/>
    <w:rsid w:val="00232635"/>
    <w:rsid w:val="00232701"/>
    <w:rsid w:val="00232B04"/>
    <w:rsid w:val="0023362E"/>
    <w:rsid w:val="00233B3B"/>
    <w:rsid w:val="00233F89"/>
    <w:rsid w:val="002342EF"/>
    <w:rsid w:val="00235890"/>
    <w:rsid w:val="00235B4B"/>
    <w:rsid w:val="00235DAC"/>
    <w:rsid w:val="00235F6F"/>
    <w:rsid w:val="00236C97"/>
    <w:rsid w:val="002406BA"/>
    <w:rsid w:val="00240747"/>
    <w:rsid w:val="002407B1"/>
    <w:rsid w:val="00240DF6"/>
    <w:rsid w:val="00241777"/>
    <w:rsid w:val="00241D77"/>
    <w:rsid w:val="00242718"/>
    <w:rsid w:val="00242873"/>
    <w:rsid w:val="00243485"/>
    <w:rsid w:val="00243D63"/>
    <w:rsid w:val="00244500"/>
    <w:rsid w:val="00244B35"/>
    <w:rsid w:val="00244C53"/>
    <w:rsid w:val="00244C5E"/>
    <w:rsid w:val="00244F5E"/>
    <w:rsid w:val="00245350"/>
    <w:rsid w:val="00245365"/>
    <w:rsid w:val="00245A64"/>
    <w:rsid w:val="00246470"/>
    <w:rsid w:val="002500DC"/>
    <w:rsid w:val="00250463"/>
    <w:rsid w:val="0025073E"/>
    <w:rsid w:val="00250B00"/>
    <w:rsid w:val="0025107A"/>
    <w:rsid w:val="002510CE"/>
    <w:rsid w:val="00251582"/>
    <w:rsid w:val="00251C7F"/>
    <w:rsid w:val="002520F3"/>
    <w:rsid w:val="0025217A"/>
    <w:rsid w:val="00252183"/>
    <w:rsid w:val="00252348"/>
    <w:rsid w:val="002524E9"/>
    <w:rsid w:val="002528F4"/>
    <w:rsid w:val="00252F67"/>
    <w:rsid w:val="0025313E"/>
    <w:rsid w:val="00253F19"/>
    <w:rsid w:val="00254C53"/>
    <w:rsid w:val="00256303"/>
    <w:rsid w:val="00256480"/>
    <w:rsid w:val="002568BB"/>
    <w:rsid w:val="00257729"/>
    <w:rsid w:val="002578B8"/>
    <w:rsid w:val="002578EE"/>
    <w:rsid w:val="002600DC"/>
    <w:rsid w:val="002602A1"/>
    <w:rsid w:val="00261347"/>
    <w:rsid w:val="00261387"/>
    <w:rsid w:val="002618A1"/>
    <w:rsid w:val="002618C9"/>
    <w:rsid w:val="00261A71"/>
    <w:rsid w:val="00261A9E"/>
    <w:rsid w:val="00262A52"/>
    <w:rsid w:val="00262B57"/>
    <w:rsid w:val="00262D8C"/>
    <w:rsid w:val="002634DB"/>
    <w:rsid w:val="002645FA"/>
    <w:rsid w:val="002649D4"/>
    <w:rsid w:val="00264DF5"/>
    <w:rsid w:val="00265A18"/>
    <w:rsid w:val="00265DFC"/>
    <w:rsid w:val="00265EF2"/>
    <w:rsid w:val="002660A4"/>
    <w:rsid w:val="00266253"/>
    <w:rsid w:val="002663F0"/>
    <w:rsid w:val="002667A0"/>
    <w:rsid w:val="002671CA"/>
    <w:rsid w:val="002675F2"/>
    <w:rsid w:val="00270851"/>
    <w:rsid w:val="0027129E"/>
    <w:rsid w:val="0027131E"/>
    <w:rsid w:val="002717E2"/>
    <w:rsid w:val="002719E6"/>
    <w:rsid w:val="00272785"/>
    <w:rsid w:val="00272A94"/>
    <w:rsid w:val="00272E70"/>
    <w:rsid w:val="00272EFB"/>
    <w:rsid w:val="00272F39"/>
    <w:rsid w:val="00273A03"/>
    <w:rsid w:val="00273F58"/>
    <w:rsid w:val="00274F35"/>
    <w:rsid w:val="00274FFB"/>
    <w:rsid w:val="0027565F"/>
    <w:rsid w:val="00275BCD"/>
    <w:rsid w:val="0027681C"/>
    <w:rsid w:val="00277386"/>
    <w:rsid w:val="002776E2"/>
    <w:rsid w:val="00277C4C"/>
    <w:rsid w:val="00280084"/>
    <w:rsid w:val="00280226"/>
    <w:rsid w:val="00280B6B"/>
    <w:rsid w:val="00281A49"/>
    <w:rsid w:val="00282096"/>
    <w:rsid w:val="00282775"/>
    <w:rsid w:val="002827F3"/>
    <w:rsid w:val="00282A88"/>
    <w:rsid w:val="00282B0A"/>
    <w:rsid w:val="00283711"/>
    <w:rsid w:val="00283787"/>
    <w:rsid w:val="00284A94"/>
    <w:rsid w:val="0028576D"/>
    <w:rsid w:val="002864C4"/>
    <w:rsid w:val="0028659F"/>
    <w:rsid w:val="0028686E"/>
    <w:rsid w:val="002868A1"/>
    <w:rsid w:val="00286B33"/>
    <w:rsid w:val="0028793B"/>
    <w:rsid w:val="00287B11"/>
    <w:rsid w:val="00287B13"/>
    <w:rsid w:val="00287C85"/>
    <w:rsid w:val="00287C8A"/>
    <w:rsid w:val="00287CEE"/>
    <w:rsid w:val="0029087A"/>
    <w:rsid w:val="00290E8A"/>
    <w:rsid w:val="00291042"/>
    <w:rsid w:val="00291183"/>
    <w:rsid w:val="0029127A"/>
    <w:rsid w:val="00291B93"/>
    <w:rsid w:val="00291FAB"/>
    <w:rsid w:val="002921AE"/>
    <w:rsid w:val="002934A5"/>
    <w:rsid w:val="00293627"/>
    <w:rsid w:val="00293951"/>
    <w:rsid w:val="00293B01"/>
    <w:rsid w:val="00293CDD"/>
    <w:rsid w:val="00294016"/>
    <w:rsid w:val="00294E7D"/>
    <w:rsid w:val="0029548B"/>
    <w:rsid w:val="00295719"/>
    <w:rsid w:val="00296228"/>
    <w:rsid w:val="00296359"/>
    <w:rsid w:val="00297257"/>
    <w:rsid w:val="002A05CD"/>
    <w:rsid w:val="002A0EC7"/>
    <w:rsid w:val="002A13D3"/>
    <w:rsid w:val="002A2D4D"/>
    <w:rsid w:val="002A3199"/>
    <w:rsid w:val="002A35C8"/>
    <w:rsid w:val="002A3B5F"/>
    <w:rsid w:val="002A3B83"/>
    <w:rsid w:val="002A3B8D"/>
    <w:rsid w:val="002A3FD1"/>
    <w:rsid w:val="002A4513"/>
    <w:rsid w:val="002A4F88"/>
    <w:rsid w:val="002A51DD"/>
    <w:rsid w:val="002A5574"/>
    <w:rsid w:val="002A56F5"/>
    <w:rsid w:val="002A5BE7"/>
    <w:rsid w:val="002A5DD5"/>
    <w:rsid w:val="002A5F8C"/>
    <w:rsid w:val="002A5FEF"/>
    <w:rsid w:val="002A61FA"/>
    <w:rsid w:val="002A6689"/>
    <w:rsid w:val="002A744E"/>
    <w:rsid w:val="002A77DE"/>
    <w:rsid w:val="002A7ED1"/>
    <w:rsid w:val="002B01B5"/>
    <w:rsid w:val="002B09FA"/>
    <w:rsid w:val="002B0E57"/>
    <w:rsid w:val="002B121C"/>
    <w:rsid w:val="002B14F0"/>
    <w:rsid w:val="002B2734"/>
    <w:rsid w:val="002B337B"/>
    <w:rsid w:val="002B353E"/>
    <w:rsid w:val="002B379E"/>
    <w:rsid w:val="002B37CB"/>
    <w:rsid w:val="002B3FD3"/>
    <w:rsid w:val="002B4516"/>
    <w:rsid w:val="002B4690"/>
    <w:rsid w:val="002B4739"/>
    <w:rsid w:val="002B4F68"/>
    <w:rsid w:val="002B5938"/>
    <w:rsid w:val="002B6235"/>
    <w:rsid w:val="002B6526"/>
    <w:rsid w:val="002B7B0F"/>
    <w:rsid w:val="002B7DD4"/>
    <w:rsid w:val="002C26BA"/>
    <w:rsid w:val="002C3917"/>
    <w:rsid w:val="002C3E4D"/>
    <w:rsid w:val="002C4295"/>
    <w:rsid w:val="002C4FF5"/>
    <w:rsid w:val="002C63FC"/>
    <w:rsid w:val="002C65D9"/>
    <w:rsid w:val="002C6B2D"/>
    <w:rsid w:val="002C6B4C"/>
    <w:rsid w:val="002C6C34"/>
    <w:rsid w:val="002C6CEB"/>
    <w:rsid w:val="002C6FBD"/>
    <w:rsid w:val="002C703B"/>
    <w:rsid w:val="002C704D"/>
    <w:rsid w:val="002C70F9"/>
    <w:rsid w:val="002C71C5"/>
    <w:rsid w:val="002C74B7"/>
    <w:rsid w:val="002C78D8"/>
    <w:rsid w:val="002C7AF4"/>
    <w:rsid w:val="002D00AD"/>
    <w:rsid w:val="002D0D9F"/>
    <w:rsid w:val="002D17D7"/>
    <w:rsid w:val="002D1B6E"/>
    <w:rsid w:val="002D209A"/>
    <w:rsid w:val="002D23AD"/>
    <w:rsid w:val="002D276C"/>
    <w:rsid w:val="002D3360"/>
    <w:rsid w:val="002D37D5"/>
    <w:rsid w:val="002D38E5"/>
    <w:rsid w:val="002D3A6A"/>
    <w:rsid w:val="002D5085"/>
    <w:rsid w:val="002D50E5"/>
    <w:rsid w:val="002D55C7"/>
    <w:rsid w:val="002D58AD"/>
    <w:rsid w:val="002D5B8C"/>
    <w:rsid w:val="002D5D4A"/>
    <w:rsid w:val="002D66DB"/>
    <w:rsid w:val="002D6A02"/>
    <w:rsid w:val="002D6A5D"/>
    <w:rsid w:val="002D7FEF"/>
    <w:rsid w:val="002E0294"/>
    <w:rsid w:val="002E146D"/>
    <w:rsid w:val="002E1AE3"/>
    <w:rsid w:val="002E23E7"/>
    <w:rsid w:val="002E27D6"/>
    <w:rsid w:val="002E287D"/>
    <w:rsid w:val="002E2B87"/>
    <w:rsid w:val="002E2CFB"/>
    <w:rsid w:val="002E32E8"/>
    <w:rsid w:val="002E3514"/>
    <w:rsid w:val="002E451B"/>
    <w:rsid w:val="002E47A1"/>
    <w:rsid w:val="002E4FF0"/>
    <w:rsid w:val="002E5CED"/>
    <w:rsid w:val="002E65DB"/>
    <w:rsid w:val="002E6DA2"/>
    <w:rsid w:val="002E6E5B"/>
    <w:rsid w:val="002E70E6"/>
    <w:rsid w:val="002E7311"/>
    <w:rsid w:val="002E756C"/>
    <w:rsid w:val="002E7C38"/>
    <w:rsid w:val="002E7CF3"/>
    <w:rsid w:val="002F0271"/>
    <w:rsid w:val="002F06D2"/>
    <w:rsid w:val="002F0845"/>
    <w:rsid w:val="002F0D74"/>
    <w:rsid w:val="002F0E9D"/>
    <w:rsid w:val="002F146E"/>
    <w:rsid w:val="002F14FB"/>
    <w:rsid w:val="002F1C74"/>
    <w:rsid w:val="002F275F"/>
    <w:rsid w:val="002F2E92"/>
    <w:rsid w:val="002F34CD"/>
    <w:rsid w:val="002F3668"/>
    <w:rsid w:val="002F3AE2"/>
    <w:rsid w:val="002F3D26"/>
    <w:rsid w:val="002F4149"/>
    <w:rsid w:val="002F41A0"/>
    <w:rsid w:val="002F4CE2"/>
    <w:rsid w:val="002F4E5A"/>
    <w:rsid w:val="002F4F51"/>
    <w:rsid w:val="002F5246"/>
    <w:rsid w:val="002F5731"/>
    <w:rsid w:val="002F6343"/>
    <w:rsid w:val="002F6537"/>
    <w:rsid w:val="002F659F"/>
    <w:rsid w:val="002F6BBD"/>
    <w:rsid w:val="002F74D0"/>
    <w:rsid w:val="00300115"/>
    <w:rsid w:val="00300400"/>
    <w:rsid w:val="003005FE"/>
    <w:rsid w:val="00300761"/>
    <w:rsid w:val="00300923"/>
    <w:rsid w:val="0030093B"/>
    <w:rsid w:val="00300ED0"/>
    <w:rsid w:val="003015AE"/>
    <w:rsid w:val="00301683"/>
    <w:rsid w:val="0030183B"/>
    <w:rsid w:val="003018E6"/>
    <w:rsid w:val="00301953"/>
    <w:rsid w:val="00301AD5"/>
    <w:rsid w:val="003021B4"/>
    <w:rsid w:val="00302222"/>
    <w:rsid w:val="00302A62"/>
    <w:rsid w:val="00302F91"/>
    <w:rsid w:val="00303254"/>
    <w:rsid w:val="00303415"/>
    <w:rsid w:val="003042EC"/>
    <w:rsid w:val="00304760"/>
    <w:rsid w:val="0030478D"/>
    <w:rsid w:val="003053DE"/>
    <w:rsid w:val="00305B09"/>
    <w:rsid w:val="00305F13"/>
    <w:rsid w:val="0030613A"/>
    <w:rsid w:val="00306148"/>
    <w:rsid w:val="003061D9"/>
    <w:rsid w:val="0030674E"/>
    <w:rsid w:val="003067C5"/>
    <w:rsid w:val="003073EF"/>
    <w:rsid w:val="00307557"/>
    <w:rsid w:val="0030764D"/>
    <w:rsid w:val="00307E97"/>
    <w:rsid w:val="00310175"/>
    <w:rsid w:val="00310DDF"/>
    <w:rsid w:val="00311B9A"/>
    <w:rsid w:val="00311D99"/>
    <w:rsid w:val="0031260B"/>
    <w:rsid w:val="0031285A"/>
    <w:rsid w:val="00313BAB"/>
    <w:rsid w:val="00313E34"/>
    <w:rsid w:val="00313E56"/>
    <w:rsid w:val="00313FDC"/>
    <w:rsid w:val="003147D0"/>
    <w:rsid w:val="00314B9F"/>
    <w:rsid w:val="003150A3"/>
    <w:rsid w:val="00315375"/>
    <w:rsid w:val="003154E8"/>
    <w:rsid w:val="003156CD"/>
    <w:rsid w:val="00316147"/>
    <w:rsid w:val="003169DD"/>
    <w:rsid w:val="00316BA5"/>
    <w:rsid w:val="00316EF6"/>
    <w:rsid w:val="00317199"/>
    <w:rsid w:val="003224AB"/>
    <w:rsid w:val="003225CA"/>
    <w:rsid w:val="00322BB0"/>
    <w:rsid w:val="00322F7B"/>
    <w:rsid w:val="0032345E"/>
    <w:rsid w:val="0032419A"/>
    <w:rsid w:val="00324560"/>
    <w:rsid w:val="00324EBC"/>
    <w:rsid w:val="00325874"/>
    <w:rsid w:val="00325DFE"/>
    <w:rsid w:val="00325FBF"/>
    <w:rsid w:val="00326F65"/>
    <w:rsid w:val="0032752A"/>
    <w:rsid w:val="0032754D"/>
    <w:rsid w:val="00327BBD"/>
    <w:rsid w:val="003314B5"/>
    <w:rsid w:val="00331BFC"/>
    <w:rsid w:val="00333262"/>
    <w:rsid w:val="00333569"/>
    <w:rsid w:val="003343F0"/>
    <w:rsid w:val="00334CBF"/>
    <w:rsid w:val="00335B7B"/>
    <w:rsid w:val="00335D9A"/>
    <w:rsid w:val="00336729"/>
    <w:rsid w:val="00336D72"/>
    <w:rsid w:val="0034082A"/>
    <w:rsid w:val="00340EDF"/>
    <w:rsid w:val="003417F4"/>
    <w:rsid w:val="00341B1A"/>
    <w:rsid w:val="00341B55"/>
    <w:rsid w:val="00341C78"/>
    <w:rsid w:val="003424E6"/>
    <w:rsid w:val="00342B47"/>
    <w:rsid w:val="00342C2D"/>
    <w:rsid w:val="00342CD4"/>
    <w:rsid w:val="00343028"/>
    <w:rsid w:val="00343629"/>
    <w:rsid w:val="003436FC"/>
    <w:rsid w:val="0034373B"/>
    <w:rsid w:val="00344670"/>
    <w:rsid w:val="00344AED"/>
    <w:rsid w:val="003455D4"/>
    <w:rsid w:val="00345643"/>
    <w:rsid w:val="00345B43"/>
    <w:rsid w:val="00345DA8"/>
    <w:rsid w:val="00346612"/>
    <w:rsid w:val="00346AFE"/>
    <w:rsid w:val="0034731D"/>
    <w:rsid w:val="003500D4"/>
    <w:rsid w:val="00351423"/>
    <w:rsid w:val="00351852"/>
    <w:rsid w:val="003519E2"/>
    <w:rsid w:val="00351C5C"/>
    <w:rsid w:val="00351DF6"/>
    <w:rsid w:val="00352169"/>
    <w:rsid w:val="00352955"/>
    <w:rsid w:val="00352C25"/>
    <w:rsid w:val="00352E3E"/>
    <w:rsid w:val="00353546"/>
    <w:rsid w:val="00353FA6"/>
    <w:rsid w:val="00353FA7"/>
    <w:rsid w:val="0035464C"/>
    <w:rsid w:val="0035567F"/>
    <w:rsid w:val="0035657E"/>
    <w:rsid w:val="00356608"/>
    <w:rsid w:val="00356B99"/>
    <w:rsid w:val="003576D6"/>
    <w:rsid w:val="003579C3"/>
    <w:rsid w:val="003614DE"/>
    <w:rsid w:val="00361737"/>
    <w:rsid w:val="00362242"/>
    <w:rsid w:val="0036264C"/>
    <w:rsid w:val="0036320F"/>
    <w:rsid w:val="00363617"/>
    <w:rsid w:val="0036374E"/>
    <w:rsid w:val="00363754"/>
    <w:rsid w:val="00363B6B"/>
    <w:rsid w:val="00363D74"/>
    <w:rsid w:val="00364680"/>
    <w:rsid w:val="003647B7"/>
    <w:rsid w:val="003658A3"/>
    <w:rsid w:val="003658AF"/>
    <w:rsid w:val="00365925"/>
    <w:rsid w:val="00365994"/>
    <w:rsid w:val="00365FC8"/>
    <w:rsid w:val="0036632F"/>
    <w:rsid w:val="0036667A"/>
    <w:rsid w:val="00366AA1"/>
    <w:rsid w:val="00366AD5"/>
    <w:rsid w:val="00366FC8"/>
    <w:rsid w:val="0036788F"/>
    <w:rsid w:val="00367A8E"/>
    <w:rsid w:val="0037017C"/>
    <w:rsid w:val="00371AA8"/>
    <w:rsid w:val="00372E21"/>
    <w:rsid w:val="0037467F"/>
    <w:rsid w:val="003747E6"/>
    <w:rsid w:val="0037493B"/>
    <w:rsid w:val="003750FF"/>
    <w:rsid w:val="00375151"/>
    <w:rsid w:val="00375181"/>
    <w:rsid w:val="003763BD"/>
    <w:rsid w:val="003768CB"/>
    <w:rsid w:val="003774B5"/>
    <w:rsid w:val="003774E0"/>
    <w:rsid w:val="00377A5A"/>
    <w:rsid w:val="00380B4C"/>
    <w:rsid w:val="00381128"/>
    <w:rsid w:val="003815EC"/>
    <w:rsid w:val="00381AEF"/>
    <w:rsid w:val="00381E26"/>
    <w:rsid w:val="00381E2A"/>
    <w:rsid w:val="003823E5"/>
    <w:rsid w:val="00382506"/>
    <w:rsid w:val="00382524"/>
    <w:rsid w:val="00382666"/>
    <w:rsid w:val="003828C6"/>
    <w:rsid w:val="00382F23"/>
    <w:rsid w:val="00383052"/>
    <w:rsid w:val="0038341D"/>
    <w:rsid w:val="0038366A"/>
    <w:rsid w:val="00384892"/>
    <w:rsid w:val="00384E7A"/>
    <w:rsid w:val="00384E96"/>
    <w:rsid w:val="00385054"/>
    <w:rsid w:val="003853DF"/>
    <w:rsid w:val="00385EF6"/>
    <w:rsid w:val="00387893"/>
    <w:rsid w:val="00387C18"/>
    <w:rsid w:val="00390002"/>
    <w:rsid w:val="00390037"/>
    <w:rsid w:val="00390912"/>
    <w:rsid w:val="00390FB3"/>
    <w:rsid w:val="003913D6"/>
    <w:rsid w:val="003913DC"/>
    <w:rsid w:val="0039156F"/>
    <w:rsid w:val="003925E0"/>
    <w:rsid w:val="00392F1D"/>
    <w:rsid w:val="00394A57"/>
    <w:rsid w:val="0039528F"/>
    <w:rsid w:val="003952B7"/>
    <w:rsid w:val="00395852"/>
    <w:rsid w:val="00396A84"/>
    <w:rsid w:val="00396F37"/>
    <w:rsid w:val="00397126"/>
    <w:rsid w:val="0039748B"/>
    <w:rsid w:val="00397748"/>
    <w:rsid w:val="003A000C"/>
    <w:rsid w:val="003A0334"/>
    <w:rsid w:val="003A08C4"/>
    <w:rsid w:val="003A1932"/>
    <w:rsid w:val="003A299F"/>
    <w:rsid w:val="003A3C22"/>
    <w:rsid w:val="003A41B3"/>
    <w:rsid w:val="003A52FB"/>
    <w:rsid w:val="003A5380"/>
    <w:rsid w:val="003A58F1"/>
    <w:rsid w:val="003A5ECE"/>
    <w:rsid w:val="003A6743"/>
    <w:rsid w:val="003A6A8A"/>
    <w:rsid w:val="003A6A9B"/>
    <w:rsid w:val="003A72E1"/>
    <w:rsid w:val="003A7A4E"/>
    <w:rsid w:val="003A7DB6"/>
    <w:rsid w:val="003A7EE0"/>
    <w:rsid w:val="003B01DD"/>
    <w:rsid w:val="003B0F71"/>
    <w:rsid w:val="003B10C4"/>
    <w:rsid w:val="003B122C"/>
    <w:rsid w:val="003B147E"/>
    <w:rsid w:val="003B29CF"/>
    <w:rsid w:val="003B2DB3"/>
    <w:rsid w:val="003B2E1B"/>
    <w:rsid w:val="003B3131"/>
    <w:rsid w:val="003B3475"/>
    <w:rsid w:val="003B4ECF"/>
    <w:rsid w:val="003B54F6"/>
    <w:rsid w:val="003B56F1"/>
    <w:rsid w:val="003B5818"/>
    <w:rsid w:val="003B5B13"/>
    <w:rsid w:val="003B5B57"/>
    <w:rsid w:val="003B6236"/>
    <w:rsid w:val="003B6512"/>
    <w:rsid w:val="003B698B"/>
    <w:rsid w:val="003B6C9B"/>
    <w:rsid w:val="003B7721"/>
    <w:rsid w:val="003C0558"/>
    <w:rsid w:val="003C0592"/>
    <w:rsid w:val="003C07A0"/>
    <w:rsid w:val="003C157F"/>
    <w:rsid w:val="003C2111"/>
    <w:rsid w:val="003C22B8"/>
    <w:rsid w:val="003C258E"/>
    <w:rsid w:val="003C2A88"/>
    <w:rsid w:val="003C30CC"/>
    <w:rsid w:val="003C316B"/>
    <w:rsid w:val="003C436C"/>
    <w:rsid w:val="003C4BD9"/>
    <w:rsid w:val="003C4D93"/>
    <w:rsid w:val="003C5039"/>
    <w:rsid w:val="003C59BC"/>
    <w:rsid w:val="003C67C5"/>
    <w:rsid w:val="003C6968"/>
    <w:rsid w:val="003C721A"/>
    <w:rsid w:val="003C7511"/>
    <w:rsid w:val="003C757C"/>
    <w:rsid w:val="003C7937"/>
    <w:rsid w:val="003C7AAC"/>
    <w:rsid w:val="003C7C20"/>
    <w:rsid w:val="003C7CAE"/>
    <w:rsid w:val="003D064B"/>
    <w:rsid w:val="003D0B87"/>
    <w:rsid w:val="003D0D28"/>
    <w:rsid w:val="003D113B"/>
    <w:rsid w:val="003D1146"/>
    <w:rsid w:val="003D148B"/>
    <w:rsid w:val="003D1823"/>
    <w:rsid w:val="003D1918"/>
    <w:rsid w:val="003D191C"/>
    <w:rsid w:val="003D1B66"/>
    <w:rsid w:val="003D1BBC"/>
    <w:rsid w:val="003D1FE4"/>
    <w:rsid w:val="003D20A9"/>
    <w:rsid w:val="003D223A"/>
    <w:rsid w:val="003D24C2"/>
    <w:rsid w:val="003D287E"/>
    <w:rsid w:val="003D3BE0"/>
    <w:rsid w:val="003D44D8"/>
    <w:rsid w:val="003D4779"/>
    <w:rsid w:val="003D5947"/>
    <w:rsid w:val="003D594A"/>
    <w:rsid w:val="003D62B2"/>
    <w:rsid w:val="003D657C"/>
    <w:rsid w:val="003D669E"/>
    <w:rsid w:val="003D685A"/>
    <w:rsid w:val="003D6A05"/>
    <w:rsid w:val="003D748E"/>
    <w:rsid w:val="003D7673"/>
    <w:rsid w:val="003D7678"/>
    <w:rsid w:val="003D7BA9"/>
    <w:rsid w:val="003D7C4B"/>
    <w:rsid w:val="003D7E31"/>
    <w:rsid w:val="003E00B6"/>
    <w:rsid w:val="003E0371"/>
    <w:rsid w:val="003E0439"/>
    <w:rsid w:val="003E06BA"/>
    <w:rsid w:val="003E089D"/>
    <w:rsid w:val="003E0AF8"/>
    <w:rsid w:val="003E1151"/>
    <w:rsid w:val="003E142D"/>
    <w:rsid w:val="003E182D"/>
    <w:rsid w:val="003E213A"/>
    <w:rsid w:val="003E3678"/>
    <w:rsid w:val="003E3DD3"/>
    <w:rsid w:val="003E3FBA"/>
    <w:rsid w:val="003E4299"/>
    <w:rsid w:val="003E42AA"/>
    <w:rsid w:val="003E489C"/>
    <w:rsid w:val="003E4D0D"/>
    <w:rsid w:val="003E5291"/>
    <w:rsid w:val="003E5B29"/>
    <w:rsid w:val="003E5E38"/>
    <w:rsid w:val="003E66DD"/>
    <w:rsid w:val="003E6B32"/>
    <w:rsid w:val="003E73ED"/>
    <w:rsid w:val="003E7707"/>
    <w:rsid w:val="003E7D8C"/>
    <w:rsid w:val="003F0032"/>
    <w:rsid w:val="003F03F7"/>
    <w:rsid w:val="003F046C"/>
    <w:rsid w:val="003F0D71"/>
    <w:rsid w:val="003F1709"/>
    <w:rsid w:val="003F2188"/>
    <w:rsid w:val="003F22DA"/>
    <w:rsid w:val="003F2918"/>
    <w:rsid w:val="003F2CD6"/>
    <w:rsid w:val="003F3505"/>
    <w:rsid w:val="003F3742"/>
    <w:rsid w:val="003F3EEE"/>
    <w:rsid w:val="003F3F84"/>
    <w:rsid w:val="003F5319"/>
    <w:rsid w:val="003F5356"/>
    <w:rsid w:val="003F549E"/>
    <w:rsid w:val="003F571D"/>
    <w:rsid w:val="003F5741"/>
    <w:rsid w:val="003F5E17"/>
    <w:rsid w:val="003F5F95"/>
    <w:rsid w:val="003F694B"/>
    <w:rsid w:val="003F70B4"/>
    <w:rsid w:val="003F7159"/>
    <w:rsid w:val="003F72DC"/>
    <w:rsid w:val="003F7449"/>
    <w:rsid w:val="0040123E"/>
    <w:rsid w:val="00402529"/>
    <w:rsid w:val="00402ADE"/>
    <w:rsid w:val="0040350D"/>
    <w:rsid w:val="00404021"/>
    <w:rsid w:val="00404283"/>
    <w:rsid w:val="00404AD8"/>
    <w:rsid w:val="00405184"/>
    <w:rsid w:val="004051CE"/>
    <w:rsid w:val="004053E2"/>
    <w:rsid w:val="00405855"/>
    <w:rsid w:val="00405B5E"/>
    <w:rsid w:val="0040638D"/>
    <w:rsid w:val="00406520"/>
    <w:rsid w:val="00406DB2"/>
    <w:rsid w:val="004073CE"/>
    <w:rsid w:val="0040743F"/>
    <w:rsid w:val="004074EB"/>
    <w:rsid w:val="004076DE"/>
    <w:rsid w:val="00407C2F"/>
    <w:rsid w:val="00407D80"/>
    <w:rsid w:val="0041032B"/>
    <w:rsid w:val="004104B6"/>
    <w:rsid w:val="0041080C"/>
    <w:rsid w:val="00411008"/>
    <w:rsid w:val="00411499"/>
    <w:rsid w:val="00411522"/>
    <w:rsid w:val="004115EC"/>
    <w:rsid w:val="00412888"/>
    <w:rsid w:val="00412AAF"/>
    <w:rsid w:val="00412D87"/>
    <w:rsid w:val="00413D2B"/>
    <w:rsid w:val="004141D0"/>
    <w:rsid w:val="0041459D"/>
    <w:rsid w:val="0041482B"/>
    <w:rsid w:val="00414D9C"/>
    <w:rsid w:val="004174D2"/>
    <w:rsid w:val="004179EA"/>
    <w:rsid w:val="00417A9B"/>
    <w:rsid w:val="0042000B"/>
    <w:rsid w:val="0042021B"/>
    <w:rsid w:val="00420611"/>
    <w:rsid w:val="004206C8"/>
    <w:rsid w:val="00420EB3"/>
    <w:rsid w:val="00421BDC"/>
    <w:rsid w:val="00422422"/>
    <w:rsid w:val="00422446"/>
    <w:rsid w:val="0042245E"/>
    <w:rsid w:val="00423333"/>
    <w:rsid w:val="0042358E"/>
    <w:rsid w:val="00423635"/>
    <w:rsid w:val="004236CA"/>
    <w:rsid w:val="00424D06"/>
    <w:rsid w:val="004255C0"/>
    <w:rsid w:val="00425F3C"/>
    <w:rsid w:val="0042695A"/>
    <w:rsid w:val="00426A53"/>
    <w:rsid w:val="00426BE0"/>
    <w:rsid w:val="00426D86"/>
    <w:rsid w:val="00427267"/>
    <w:rsid w:val="00427397"/>
    <w:rsid w:val="00427619"/>
    <w:rsid w:val="004307A6"/>
    <w:rsid w:val="00430FC6"/>
    <w:rsid w:val="004313D4"/>
    <w:rsid w:val="004315D6"/>
    <w:rsid w:val="0043182C"/>
    <w:rsid w:val="00431C62"/>
    <w:rsid w:val="0043360D"/>
    <w:rsid w:val="00433852"/>
    <w:rsid w:val="00433967"/>
    <w:rsid w:val="00434286"/>
    <w:rsid w:val="00434A4F"/>
    <w:rsid w:val="00434C86"/>
    <w:rsid w:val="00435038"/>
    <w:rsid w:val="00435436"/>
    <w:rsid w:val="004355B1"/>
    <w:rsid w:val="004357D2"/>
    <w:rsid w:val="00435828"/>
    <w:rsid w:val="0043598D"/>
    <w:rsid w:val="00435F3F"/>
    <w:rsid w:val="004366E6"/>
    <w:rsid w:val="00437929"/>
    <w:rsid w:val="0043793F"/>
    <w:rsid w:val="00437A3E"/>
    <w:rsid w:val="00437B40"/>
    <w:rsid w:val="00437EB4"/>
    <w:rsid w:val="00437FF7"/>
    <w:rsid w:val="00440132"/>
    <w:rsid w:val="00440864"/>
    <w:rsid w:val="00440CB6"/>
    <w:rsid w:val="00440EA4"/>
    <w:rsid w:val="00441784"/>
    <w:rsid w:val="0044277E"/>
    <w:rsid w:val="00442C48"/>
    <w:rsid w:val="00443B7F"/>
    <w:rsid w:val="004440DA"/>
    <w:rsid w:val="004440E2"/>
    <w:rsid w:val="0044464F"/>
    <w:rsid w:val="00444A17"/>
    <w:rsid w:val="00444F9B"/>
    <w:rsid w:val="00444FC6"/>
    <w:rsid w:val="004453AA"/>
    <w:rsid w:val="00446913"/>
    <w:rsid w:val="00446AE8"/>
    <w:rsid w:val="00446C06"/>
    <w:rsid w:val="00446E02"/>
    <w:rsid w:val="00447E60"/>
    <w:rsid w:val="004502EA"/>
    <w:rsid w:val="00450501"/>
    <w:rsid w:val="00450B52"/>
    <w:rsid w:val="0045146F"/>
    <w:rsid w:val="004515BB"/>
    <w:rsid w:val="004516D3"/>
    <w:rsid w:val="00451D6F"/>
    <w:rsid w:val="00452055"/>
    <w:rsid w:val="00452B11"/>
    <w:rsid w:val="0045311B"/>
    <w:rsid w:val="004538F3"/>
    <w:rsid w:val="004541CF"/>
    <w:rsid w:val="00454710"/>
    <w:rsid w:val="004547B0"/>
    <w:rsid w:val="00454AC3"/>
    <w:rsid w:val="00454C8D"/>
    <w:rsid w:val="00454D61"/>
    <w:rsid w:val="00455092"/>
    <w:rsid w:val="0045519E"/>
    <w:rsid w:val="004560F9"/>
    <w:rsid w:val="00456594"/>
    <w:rsid w:val="004566FC"/>
    <w:rsid w:val="004567E6"/>
    <w:rsid w:val="00456811"/>
    <w:rsid w:val="0045684F"/>
    <w:rsid w:val="0045716E"/>
    <w:rsid w:val="004573B9"/>
    <w:rsid w:val="00457893"/>
    <w:rsid w:val="0046038B"/>
    <w:rsid w:val="00460A76"/>
    <w:rsid w:val="00460FA4"/>
    <w:rsid w:val="0046112C"/>
    <w:rsid w:val="00461ED1"/>
    <w:rsid w:val="0046225D"/>
    <w:rsid w:val="00462352"/>
    <w:rsid w:val="0046253F"/>
    <w:rsid w:val="00462931"/>
    <w:rsid w:val="00463004"/>
    <w:rsid w:val="00463842"/>
    <w:rsid w:val="0046394C"/>
    <w:rsid w:val="004644AE"/>
    <w:rsid w:val="0046495E"/>
    <w:rsid w:val="00465072"/>
    <w:rsid w:val="00465287"/>
    <w:rsid w:val="00465AAF"/>
    <w:rsid w:val="00465F15"/>
    <w:rsid w:val="00466223"/>
    <w:rsid w:val="00466396"/>
    <w:rsid w:val="00466465"/>
    <w:rsid w:val="004667D2"/>
    <w:rsid w:val="004668DD"/>
    <w:rsid w:val="00466E71"/>
    <w:rsid w:val="00467978"/>
    <w:rsid w:val="00470205"/>
    <w:rsid w:val="004711D9"/>
    <w:rsid w:val="00471526"/>
    <w:rsid w:val="00471F4F"/>
    <w:rsid w:val="00472839"/>
    <w:rsid w:val="00472A0E"/>
    <w:rsid w:val="00472BDC"/>
    <w:rsid w:val="00472E72"/>
    <w:rsid w:val="00474288"/>
    <w:rsid w:val="00475157"/>
    <w:rsid w:val="0047525A"/>
    <w:rsid w:val="00475529"/>
    <w:rsid w:val="0047557C"/>
    <w:rsid w:val="004757C4"/>
    <w:rsid w:val="00475ADD"/>
    <w:rsid w:val="00475E87"/>
    <w:rsid w:val="0047601F"/>
    <w:rsid w:val="004760E4"/>
    <w:rsid w:val="00476A24"/>
    <w:rsid w:val="00476CC5"/>
    <w:rsid w:val="0047726D"/>
    <w:rsid w:val="004776FF"/>
    <w:rsid w:val="00477728"/>
    <w:rsid w:val="00477DE0"/>
    <w:rsid w:val="00477EA0"/>
    <w:rsid w:val="00480AFC"/>
    <w:rsid w:val="00480C92"/>
    <w:rsid w:val="00480CDF"/>
    <w:rsid w:val="00480DC1"/>
    <w:rsid w:val="00480E38"/>
    <w:rsid w:val="00480FC3"/>
    <w:rsid w:val="004815B7"/>
    <w:rsid w:val="00482983"/>
    <w:rsid w:val="0048348F"/>
    <w:rsid w:val="004837B2"/>
    <w:rsid w:val="00483CBD"/>
    <w:rsid w:val="0048416B"/>
    <w:rsid w:val="00484E7F"/>
    <w:rsid w:val="004854D6"/>
    <w:rsid w:val="0048658B"/>
    <w:rsid w:val="00486B6A"/>
    <w:rsid w:val="00487D5F"/>
    <w:rsid w:val="00490202"/>
    <w:rsid w:val="0049030E"/>
    <w:rsid w:val="00490B1D"/>
    <w:rsid w:val="00490FF1"/>
    <w:rsid w:val="00491344"/>
    <w:rsid w:val="00491410"/>
    <w:rsid w:val="00491AB2"/>
    <w:rsid w:val="00491AB3"/>
    <w:rsid w:val="00491CBF"/>
    <w:rsid w:val="004924F3"/>
    <w:rsid w:val="00492D99"/>
    <w:rsid w:val="0049300F"/>
    <w:rsid w:val="0049326A"/>
    <w:rsid w:val="0049349A"/>
    <w:rsid w:val="00494143"/>
    <w:rsid w:val="004943E1"/>
    <w:rsid w:val="00494F0D"/>
    <w:rsid w:val="00495764"/>
    <w:rsid w:val="00495FAA"/>
    <w:rsid w:val="00496440"/>
    <w:rsid w:val="00496904"/>
    <w:rsid w:val="00496966"/>
    <w:rsid w:val="004969D4"/>
    <w:rsid w:val="004974E4"/>
    <w:rsid w:val="0049783A"/>
    <w:rsid w:val="004A049A"/>
    <w:rsid w:val="004A0700"/>
    <w:rsid w:val="004A1B5D"/>
    <w:rsid w:val="004A28DB"/>
    <w:rsid w:val="004A3149"/>
    <w:rsid w:val="004A364C"/>
    <w:rsid w:val="004A3B98"/>
    <w:rsid w:val="004A3C52"/>
    <w:rsid w:val="004A4096"/>
    <w:rsid w:val="004A4D68"/>
    <w:rsid w:val="004A5EA6"/>
    <w:rsid w:val="004A608A"/>
    <w:rsid w:val="004A634E"/>
    <w:rsid w:val="004A6356"/>
    <w:rsid w:val="004A6A34"/>
    <w:rsid w:val="004A6CB1"/>
    <w:rsid w:val="004A6CB2"/>
    <w:rsid w:val="004A7406"/>
    <w:rsid w:val="004A7CBE"/>
    <w:rsid w:val="004B04CD"/>
    <w:rsid w:val="004B0699"/>
    <w:rsid w:val="004B0AD7"/>
    <w:rsid w:val="004B0E82"/>
    <w:rsid w:val="004B10AA"/>
    <w:rsid w:val="004B14BC"/>
    <w:rsid w:val="004B1AE9"/>
    <w:rsid w:val="004B1C6F"/>
    <w:rsid w:val="004B2030"/>
    <w:rsid w:val="004B204B"/>
    <w:rsid w:val="004B21DF"/>
    <w:rsid w:val="004B233F"/>
    <w:rsid w:val="004B26FF"/>
    <w:rsid w:val="004B2815"/>
    <w:rsid w:val="004B2964"/>
    <w:rsid w:val="004B2C54"/>
    <w:rsid w:val="004B2EB2"/>
    <w:rsid w:val="004B3169"/>
    <w:rsid w:val="004B332F"/>
    <w:rsid w:val="004B44CD"/>
    <w:rsid w:val="004B4689"/>
    <w:rsid w:val="004B4BB3"/>
    <w:rsid w:val="004B506E"/>
    <w:rsid w:val="004B54B8"/>
    <w:rsid w:val="004B68B0"/>
    <w:rsid w:val="004B6D31"/>
    <w:rsid w:val="004B6E12"/>
    <w:rsid w:val="004B6EB8"/>
    <w:rsid w:val="004B720C"/>
    <w:rsid w:val="004B7666"/>
    <w:rsid w:val="004B7765"/>
    <w:rsid w:val="004C056F"/>
    <w:rsid w:val="004C095D"/>
    <w:rsid w:val="004C0E21"/>
    <w:rsid w:val="004C11CA"/>
    <w:rsid w:val="004C205C"/>
    <w:rsid w:val="004C2F58"/>
    <w:rsid w:val="004C3776"/>
    <w:rsid w:val="004C3E6E"/>
    <w:rsid w:val="004C3ECD"/>
    <w:rsid w:val="004C4E9E"/>
    <w:rsid w:val="004C4FF2"/>
    <w:rsid w:val="004C5717"/>
    <w:rsid w:val="004C6DF4"/>
    <w:rsid w:val="004C7727"/>
    <w:rsid w:val="004C7B59"/>
    <w:rsid w:val="004C7C9C"/>
    <w:rsid w:val="004C7D10"/>
    <w:rsid w:val="004C9DB9"/>
    <w:rsid w:val="004D01A4"/>
    <w:rsid w:val="004D01BB"/>
    <w:rsid w:val="004D023A"/>
    <w:rsid w:val="004D0CBC"/>
    <w:rsid w:val="004D0D86"/>
    <w:rsid w:val="004D1587"/>
    <w:rsid w:val="004D16F8"/>
    <w:rsid w:val="004D1727"/>
    <w:rsid w:val="004D1746"/>
    <w:rsid w:val="004D2412"/>
    <w:rsid w:val="004D25BB"/>
    <w:rsid w:val="004D27DD"/>
    <w:rsid w:val="004D2924"/>
    <w:rsid w:val="004D2B73"/>
    <w:rsid w:val="004D35AD"/>
    <w:rsid w:val="004D3A4E"/>
    <w:rsid w:val="004D402F"/>
    <w:rsid w:val="004D43E1"/>
    <w:rsid w:val="004D48D0"/>
    <w:rsid w:val="004D4BC2"/>
    <w:rsid w:val="004D4F7C"/>
    <w:rsid w:val="004D4FA2"/>
    <w:rsid w:val="004D5013"/>
    <w:rsid w:val="004D5BEB"/>
    <w:rsid w:val="004D5CA9"/>
    <w:rsid w:val="004D5D2F"/>
    <w:rsid w:val="004D62A8"/>
    <w:rsid w:val="004D6DF3"/>
    <w:rsid w:val="004D71A5"/>
    <w:rsid w:val="004D79E7"/>
    <w:rsid w:val="004D7DC5"/>
    <w:rsid w:val="004E0016"/>
    <w:rsid w:val="004E036E"/>
    <w:rsid w:val="004E043D"/>
    <w:rsid w:val="004E0749"/>
    <w:rsid w:val="004E0784"/>
    <w:rsid w:val="004E0B83"/>
    <w:rsid w:val="004E0D21"/>
    <w:rsid w:val="004E12B3"/>
    <w:rsid w:val="004E1485"/>
    <w:rsid w:val="004E20C0"/>
    <w:rsid w:val="004E2102"/>
    <w:rsid w:val="004E2B59"/>
    <w:rsid w:val="004E32ED"/>
    <w:rsid w:val="004E3CB8"/>
    <w:rsid w:val="004E4405"/>
    <w:rsid w:val="004E44AD"/>
    <w:rsid w:val="004E4A45"/>
    <w:rsid w:val="004E4ADF"/>
    <w:rsid w:val="004E4B61"/>
    <w:rsid w:val="004E4EC1"/>
    <w:rsid w:val="004E51BB"/>
    <w:rsid w:val="004E5BD4"/>
    <w:rsid w:val="004E5BFA"/>
    <w:rsid w:val="004E6211"/>
    <w:rsid w:val="004E68DA"/>
    <w:rsid w:val="004E6A30"/>
    <w:rsid w:val="004E6FE6"/>
    <w:rsid w:val="004E728F"/>
    <w:rsid w:val="004E7D10"/>
    <w:rsid w:val="004E7EFF"/>
    <w:rsid w:val="004F0381"/>
    <w:rsid w:val="004F07C4"/>
    <w:rsid w:val="004F0A2D"/>
    <w:rsid w:val="004F1199"/>
    <w:rsid w:val="004F1261"/>
    <w:rsid w:val="004F1779"/>
    <w:rsid w:val="004F19C3"/>
    <w:rsid w:val="004F1BF0"/>
    <w:rsid w:val="004F24D5"/>
    <w:rsid w:val="004F283B"/>
    <w:rsid w:val="004F31BB"/>
    <w:rsid w:val="004F33E4"/>
    <w:rsid w:val="004F369D"/>
    <w:rsid w:val="004F36F5"/>
    <w:rsid w:val="004F3781"/>
    <w:rsid w:val="004F38C9"/>
    <w:rsid w:val="004F38E9"/>
    <w:rsid w:val="004F394F"/>
    <w:rsid w:val="004F3A2B"/>
    <w:rsid w:val="004F419F"/>
    <w:rsid w:val="004F4591"/>
    <w:rsid w:val="004F4A99"/>
    <w:rsid w:val="004F4FCE"/>
    <w:rsid w:val="004F59DF"/>
    <w:rsid w:val="004F5B02"/>
    <w:rsid w:val="004F5DF6"/>
    <w:rsid w:val="004F66F1"/>
    <w:rsid w:val="004F6CAE"/>
    <w:rsid w:val="004F752E"/>
    <w:rsid w:val="004F75A4"/>
    <w:rsid w:val="004F7757"/>
    <w:rsid w:val="004F7D3B"/>
    <w:rsid w:val="00500385"/>
    <w:rsid w:val="0050039B"/>
    <w:rsid w:val="00500C54"/>
    <w:rsid w:val="00501198"/>
    <w:rsid w:val="00501272"/>
    <w:rsid w:val="00501339"/>
    <w:rsid w:val="00501D86"/>
    <w:rsid w:val="005026A6"/>
    <w:rsid w:val="00502C77"/>
    <w:rsid w:val="00503198"/>
    <w:rsid w:val="005031BF"/>
    <w:rsid w:val="0050328D"/>
    <w:rsid w:val="005038B7"/>
    <w:rsid w:val="00504027"/>
    <w:rsid w:val="005049D3"/>
    <w:rsid w:val="00505681"/>
    <w:rsid w:val="00505CD5"/>
    <w:rsid w:val="00506C0C"/>
    <w:rsid w:val="00506D4A"/>
    <w:rsid w:val="0050786D"/>
    <w:rsid w:val="00510568"/>
    <w:rsid w:val="00510C82"/>
    <w:rsid w:val="00510F80"/>
    <w:rsid w:val="00511937"/>
    <w:rsid w:val="00511BA6"/>
    <w:rsid w:val="00511F46"/>
    <w:rsid w:val="0051268B"/>
    <w:rsid w:val="0051285A"/>
    <w:rsid w:val="00512F05"/>
    <w:rsid w:val="0051326E"/>
    <w:rsid w:val="0051394B"/>
    <w:rsid w:val="00513A4C"/>
    <w:rsid w:val="00513F8F"/>
    <w:rsid w:val="00513FC0"/>
    <w:rsid w:val="0051433F"/>
    <w:rsid w:val="005145B7"/>
    <w:rsid w:val="005147A2"/>
    <w:rsid w:val="00514A3B"/>
    <w:rsid w:val="00514AFF"/>
    <w:rsid w:val="00516A06"/>
    <w:rsid w:val="00517393"/>
    <w:rsid w:val="00517A39"/>
    <w:rsid w:val="00517E34"/>
    <w:rsid w:val="005200A5"/>
    <w:rsid w:val="00520493"/>
    <w:rsid w:val="00520F06"/>
    <w:rsid w:val="00522AF5"/>
    <w:rsid w:val="005241E8"/>
    <w:rsid w:val="005244DC"/>
    <w:rsid w:val="00524537"/>
    <w:rsid w:val="00524F0A"/>
    <w:rsid w:val="0052604A"/>
    <w:rsid w:val="00527B46"/>
    <w:rsid w:val="00530623"/>
    <w:rsid w:val="0053096C"/>
    <w:rsid w:val="00530D05"/>
    <w:rsid w:val="0053128E"/>
    <w:rsid w:val="005313DA"/>
    <w:rsid w:val="00531E08"/>
    <w:rsid w:val="005333CE"/>
    <w:rsid w:val="0053350A"/>
    <w:rsid w:val="00533A4E"/>
    <w:rsid w:val="00533B42"/>
    <w:rsid w:val="00533DF9"/>
    <w:rsid w:val="00533E0B"/>
    <w:rsid w:val="00533F53"/>
    <w:rsid w:val="005342C4"/>
    <w:rsid w:val="005347B8"/>
    <w:rsid w:val="005353B7"/>
    <w:rsid w:val="0053638B"/>
    <w:rsid w:val="00536556"/>
    <w:rsid w:val="00537649"/>
    <w:rsid w:val="005378A7"/>
    <w:rsid w:val="00540114"/>
    <w:rsid w:val="005406DB"/>
    <w:rsid w:val="00540E72"/>
    <w:rsid w:val="0054115C"/>
    <w:rsid w:val="00541761"/>
    <w:rsid w:val="00542BF2"/>
    <w:rsid w:val="00542F10"/>
    <w:rsid w:val="00542FD3"/>
    <w:rsid w:val="00543755"/>
    <w:rsid w:val="00543C20"/>
    <w:rsid w:val="00544126"/>
    <w:rsid w:val="005448CF"/>
    <w:rsid w:val="00544B6D"/>
    <w:rsid w:val="00544EE2"/>
    <w:rsid w:val="005452AE"/>
    <w:rsid w:val="005454B8"/>
    <w:rsid w:val="00545E7A"/>
    <w:rsid w:val="00545FC2"/>
    <w:rsid w:val="00546564"/>
    <w:rsid w:val="0054668C"/>
    <w:rsid w:val="00546833"/>
    <w:rsid w:val="00546B19"/>
    <w:rsid w:val="005511ED"/>
    <w:rsid w:val="00551472"/>
    <w:rsid w:val="005515D4"/>
    <w:rsid w:val="00551684"/>
    <w:rsid w:val="005517E1"/>
    <w:rsid w:val="00551976"/>
    <w:rsid w:val="00551B49"/>
    <w:rsid w:val="0055288D"/>
    <w:rsid w:val="00552AA8"/>
    <w:rsid w:val="0055311C"/>
    <w:rsid w:val="00553691"/>
    <w:rsid w:val="00554076"/>
    <w:rsid w:val="0055488C"/>
    <w:rsid w:val="00554DE1"/>
    <w:rsid w:val="00554E2D"/>
    <w:rsid w:val="005550B5"/>
    <w:rsid w:val="005550CF"/>
    <w:rsid w:val="00555447"/>
    <w:rsid w:val="005556CF"/>
    <w:rsid w:val="00555ACE"/>
    <w:rsid w:val="00556212"/>
    <w:rsid w:val="005562F8"/>
    <w:rsid w:val="00556639"/>
    <w:rsid w:val="00556C6E"/>
    <w:rsid w:val="00556DB0"/>
    <w:rsid w:val="00557533"/>
    <w:rsid w:val="00557641"/>
    <w:rsid w:val="00557E52"/>
    <w:rsid w:val="0056019B"/>
    <w:rsid w:val="005601FC"/>
    <w:rsid w:val="00560E84"/>
    <w:rsid w:val="00560F0A"/>
    <w:rsid w:val="00561265"/>
    <w:rsid w:val="00561D73"/>
    <w:rsid w:val="00562296"/>
    <w:rsid w:val="0056236E"/>
    <w:rsid w:val="00562A0C"/>
    <w:rsid w:val="0056357C"/>
    <w:rsid w:val="0056374F"/>
    <w:rsid w:val="00563C88"/>
    <w:rsid w:val="00564331"/>
    <w:rsid w:val="00564C7B"/>
    <w:rsid w:val="00564D4D"/>
    <w:rsid w:val="00564EF6"/>
    <w:rsid w:val="0056504A"/>
    <w:rsid w:val="0056549C"/>
    <w:rsid w:val="0056556C"/>
    <w:rsid w:val="00565D87"/>
    <w:rsid w:val="00565E09"/>
    <w:rsid w:val="00565FD6"/>
    <w:rsid w:val="005660C4"/>
    <w:rsid w:val="00566221"/>
    <w:rsid w:val="0056631F"/>
    <w:rsid w:val="00566598"/>
    <w:rsid w:val="005675A0"/>
    <w:rsid w:val="005679C2"/>
    <w:rsid w:val="00567CF2"/>
    <w:rsid w:val="00570042"/>
    <w:rsid w:val="00570DE4"/>
    <w:rsid w:val="00571000"/>
    <w:rsid w:val="005712FF"/>
    <w:rsid w:val="00571804"/>
    <w:rsid w:val="00572132"/>
    <w:rsid w:val="005722ED"/>
    <w:rsid w:val="00572410"/>
    <w:rsid w:val="00572F5B"/>
    <w:rsid w:val="00572FC7"/>
    <w:rsid w:val="005731C7"/>
    <w:rsid w:val="0057369A"/>
    <w:rsid w:val="00573A82"/>
    <w:rsid w:val="00573CD2"/>
    <w:rsid w:val="005746C0"/>
    <w:rsid w:val="0057504B"/>
    <w:rsid w:val="0057652D"/>
    <w:rsid w:val="005768C4"/>
    <w:rsid w:val="00576C40"/>
    <w:rsid w:val="00576DC9"/>
    <w:rsid w:val="00577556"/>
    <w:rsid w:val="00577D6F"/>
    <w:rsid w:val="005805E7"/>
    <w:rsid w:val="00580785"/>
    <w:rsid w:val="00580DE3"/>
    <w:rsid w:val="00580EEB"/>
    <w:rsid w:val="00581188"/>
    <w:rsid w:val="00582120"/>
    <w:rsid w:val="005824BB"/>
    <w:rsid w:val="00582654"/>
    <w:rsid w:val="00582D25"/>
    <w:rsid w:val="00583125"/>
    <w:rsid w:val="00583144"/>
    <w:rsid w:val="005834CE"/>
    <w:rsid w:val="00583863"/>
    <w:rsid w:val="00583CC7"/>
    <w:rsid w:val="005841C4"/>
    <w:rsid w:val="00584423"/>
    <w:rsid w:val="005848A1"/>
    <w:rsid w:val="00584C1C"/>
    <w:rsid w:val="00584F52"/>
    <w:rsid w:val="005850A1"/>
    <w:rsid w:val="00585ECA"/>
    <w:rsid w:val="0058601D"/>
    <w:rsid w:val="00586658"/>
    <w:rsid w:val="0058764D"/>
    <w:rsid w:val="00587D92"/>
    <w:rsid w:val="00587EE7"/>
    <w:rsid w:val="005901C2"/>
    <w:rsid w:val="005901E3"/>
    <w:rsid w:val="00590352"/>
    <w:rsid w:val="00590B8B"/>
    <w:rsid w:val="00590D0F"/>
    <w:rsid w:val="005914DB"/>
    <w:rsid w:val="005918D8"/>
    <w:rsid w:val="00591E5F"/>
    <w:rsid w:val="005921B8"/>
    <w:rsid w:val="00592299"/>
    <w:rsid w:val="0059355B"/>
    <w:rsid w:val="005939A0"/>
    <w:rsid w:val="005947C4"/>
    <w:rsid w:val="005957FC"/>
    <w:rsid w:val="00596BFE"/>
    <w:rsid w:val="005974C2"/>
    <w:rsid w:val="00597789"/>
    <w:rsid w:val="00597D8A"/>
    <w:rsid w:val="005A0509"/>
    <w:rsid w:val="005A0647"/>
    <w:rsid w:val="005A0916"/>
    <w:rsid w:val="005A0E2A"/>
    <w:rsid w:val="005A226E"/>
    <w:rsid w:val="005A22D3"/>
    <w:rsid w:val="005A2383"/>
    <w:rsid w:val="005A2AE2"/>
    <w:rsid w:val="005A2FD2"/>
    <w:rsid w:val="005A316E"/>
    <w:rsid w:val="005A377D"/>
    <w:rsid w:val="005A381D"/>
    <w:rsid w:val="005A3E47"/>
    <w:rsid w:val="005A3F61"/>
    <w:rsid w:val="005A4415"/>
    <w:rsid w:val="005A4722"/>
    <w:rsid w:val="005A4AD3"/>
    <w:rsid w:val="005A51E2"/>
    <w:rsid w:val="005A6B50"/>
    <w:rsid w:val="005A6F0A"/>
    <w:rsid w:val="005A7944"/>
    <w:rsid w:val="005A7AFE"/>
    <w:rsid w:val="005B01F7"/>
    <w:rsid w:val="005B066A"/>
    <w:rsid w:val="005B10F0"/>
    <w:rsid w:val="005B133A"/>
    <w:rsid w:val="005B1700"/>
    <w:rsid w:val="005B1842"/>
    <w:rsid w:val="005B1A74"/>
    <w:rsid w:val="005B1AAA"/>
    <w:rsid w:val="005B23CE"/>
    <w:rsid w:val="005B297C"/>
    <w:rsid w:val="005B2EE1"/>
    <w:rsid w:val="005B2EEC"/>
    <w:rsid w:val="005B3C58"/>
    <w:rsid w:val="005B422B"/>
    <w:rsid w:val="005B4275"/>
    <w:rsid w:val="005B433E"/>
    <w:rsid w:val="005B44D8"/>
    <w:rsid w:val="005B44E4"/>
    <w:rsid w:val="005B4673"/>
    <w:rsid w:val="005B46D0"/>
    <w:rsid w:val="005B5235"/>
    <w:rsid w:val="005B56BA"/>
    <w:rsid w:val="005B5796"/>
    <w:rsid w:val="005B5CAF"/>
    <w:rsid w:val="005B6201"/>
    <w:rsid w:val="005B678D"/>
    <w:rsid w:val="005B6C42"/>
    <w:rsid w:val="005B7614"/>
    <w:rsid w:val="005B7B68"/>
    <w:rsid w:val="005C0179"/>
    <w:rsid w:val="005C0A7C"/>
    <w:rsid w:val="005C117F"/>
    <w:rsid w:val="005C1410"/>
    <w:rsid w:val="005C19DA"/>
    <w:rsid w:val="005C1A5C"/>
    <w:rsid w:val="005C2F82"/>
    <w:rsid w:val="005C33F4"/>
    <w:rsid w:val="005C36D7"/>
    <w:rsid w:val="005C394C"/>
    <w:rsid w:val="005C4167"/>
    <w:rsid w:val="005C53FC"/>
    <w:rsid w:val="005C5A89"/>
    <w:rsid w:val="005C5ED9"/>
    <w:rsid w:val="005C70E4"/>
    <w:rsid w:val="005C76C9"/>
    <w:rsid w:val="005D00E2"/>
    <w:rsid w:val="005D0353"/>
    <w:rsid w:val="005D078C"/>
    <w:rsid w:val="005D0F03"/>
    <w:rsid w:val="005D160F"/>
    <w:rsid w:val="005D18C0"/>
    <w:rsid w:val="005D1AB7"/>
    <w:rsid w:val="005D1C86"/>
    <w:rsid w:val="005D1D2B"/>
    <w:rsid w:val="005D1E91"/>
    <w:rsid w:val="005D1EBB"/>
    <w:rsid w:val="005D212A"/>
    <w:rsid w:val="005D2376"/>
    <w:rsid w:val="005D3041"/>
    <w:rsid w:val="005D3486"/>
    <w:rsid w:val="005D384C"/>
    <w:rsid w:val="005D4B8B"/>
    <w:rsid w:val="005D5218"/>
    <w:rsid w:val="005D526E"/>
    <w:rsid w:val="005D58E5"/>
    <w:rsid w:val="005D5DFA"/>
    <w:rsid w:val="005D6CF0"/>
    <w:rsid w:val="005D7840"/>
    <w:rsid w:val="005D79B4"/>
    <w:rsid w:val="005D7AB6"/>
    <w:rsid w:val="005D7F2D"/>
    <w:rsid w:val="005E072B"/>
    <w:rsid w:val="005E148F"/>
    <w:rsid w:val="005E15E3"/>
    <w:rsid w:val="005E2571"/>
    <w:rsid w:val="005E282F"/>
    <w:rsid w:val="005E2A5E"/>
    <w:rsid w:val="005E2F7C"/>
    <w:rsid w:val="005E34EE"/>
    <w:rsid w:val="005E3520"/>
    <w:rsid w:val="005E3776"/>
    <w:rsid w:val="005E3C84"/>
    <w:rsid w:val="005E4436"/>
    <w:rsid w:val="005E46BD"/>
    <w:rsid w:val="005E4B68"/>
    <w:rsid w:val="005E4C97"/>
    <w:rsid w:val="005E571D"/>
    <w:rsid w:val="005E5ECC"/>
    <w:rsid w:val="005E5ED3"/>
    <w:rsid w:val="005E6173"/>
    <w:rsid w:val="005E69F9"/>
    <w:rsid w:val="005E6EEB"/>
    <w:rsid w:val="005E7107"/>
    <w:rsid w:val="005E769B"/>
    <w:rsid w:val="005E7BA8"/>
    <w:rsid w:val="005F05FF"/>
    <w:rsid w:val="005F0AC3"/>
    <w:rsid w:val="005F0ADE"/>
    <w:rsid w:val="005F0BE4"/>
    <w:rsid w:val="005F0F68"/>
    <w:rsid w:val="005F2302"/>
    <w:rsid w:val="005F3010"/>
    <w:rsid w:val="005F3856"/>
    <w:rsid w:val="005F4150"/>
    <w:rsid w:val="005F43F9"/>
    <w:rsid w:val="005F44FC"/>
    <w:rsid w:val="005F4ACA"/>
    <w:rsid w:val="005F4FA9"/>
    <w:rsid w:val="005F50F3"/>
    <w:rsid w:val="005F5CD9"/>
    <w:rsid w:val="005F5CDA"/>
    <w:rsid w:val="005F5E9B"/>
    <w:rsid w:val="005F6071"/>
    <w:rsid w:val="005F62BB"/>
    <w:rsid w:val="005F62C2"/>
    <w:rsid w:val="005F6709"/>
    <w:rsid w:val="005F72D8"/>
    <w:rsid w:val="005F790C"/>
    <w:rsid w:val="005F79BA"/>
    <w:rsid w:val="005F7D59"/>
    <w:rsid w:val="006006D6"/>
    <w:rsid w:val="00600729"/>
    <w:rsid w:val="00600EAC"/>
    <w:rsid w:val="0060100B"/>
    <w:rsid w:val="006010D8"/>
    <w:rsid w:val="00601541"/>
    <w:rsid w:val="006015CF"/>
    <w:rsid w:val="00601617"/>
    <w:rsid w:val="006021E5"/>
    <w:rsid w:val="006030F7"/>
    <w:rsid w:val="006037E1"/>
    <w:rsid w:val="00603F03"/>
    <w:rsid w:val="00604417"/>
    <w:rsid w:val="00604912"/>
    <w:rsid w:val="00604DAD"/>
    <w:rsid w:val="0060517B"/>
    <w:rsid w:val="006052DE"/>
    <w:rsid w:val="006055EA"/>
    <w:rsid w:val="006056A6"/>
    <w:rsid w:val="006057E7"/>
    <w:rsid w:val="00605DED"/>
    <w:rsid w:val="00606F1F"/>
    <w:rsid w:val="00607E0E"/>
    <w:rsid w:val="006100DE"/>
    <w:rsid w:val="0061076C"/>
    <w:rsid w:val="00610CC0"/>
    <w:rsid w:val="006112A3"/>
    <w:rsid w:val="006116E6"/>
    <w:rsid w:val="006117D5"/>
    <w:rsid w:val="0061187E"/>
    <w:rsid w:val="006129BD"/>
    <w:rsid w:val="00612B3D"/>
    <w:rsid w:val="00613869"/>
    <w:rsid w:val="0061445E"/>
    <w:rsid w:val="00615244"/>
    <w:rsid w:val="0061542F"/>
    <w:rsid w:val="00615949"/>
    <w:rsid w:val="00615F53"/>
    <w:rsid w:val="0061658D"/>
    <w:rsid w:val="0061671E"/>
    <w:rsid w:val="0061696E"/>
    <w:rsid w:val="00616E31"/>
    <w:rsid w:val="00617114"/>
    <w:rsid w:val="00620634"/>
    <w:rsid w:val="0062064D"/>
    <w:rsid w:val="0062069D"/>
    <w:rsid w:val="00621295"/>
    <w:rsid w:val="006212C7"/>
    <w:rsid w:val="00621596"/>
    <w:rsid w:val="00621ABB"/>
    <w:rsid w:val="00621C88"/>
    <w:rsid w:val="00622382"/>
    <w:rsid w:val="00622972"/>
    <w:rsid w:val="00622981"/>
    <w:rsid w:val="0062337C"/>
    <w:rsid w:val="00623FC4"/>
    <w:rsid w:val="006240C0"/>
    <w:rsid w:val="00624559"/>
    <w:rsid w:val="00624F7D"/>
    <w:rsid w:val="006252AD"/>
    <w:rsid w:val="00625D42"/>
    <w:rsid w:val="00625DB0"/>
    <w:rsid w:val="00625DBD"/>
    <w:rsid w:val="00625F10"/>
    <w:rsid w:val="0062634C"/>
    <w:rsid w:val="006269A4"/>
    <w:rsid w:val="006269D7"/>
    <w:rsid w:val="00626AA4"/>
    <w:rsid w:val="00626C68"/>
    <w:rsid w:val="00626F1D"/>
    <w:rsid w:val="00626F1F"/>
    <w:rsid w:val="006271CA"/>
    <w:rsid w:val="006278BA"/>
    <w:rsid w:val="00630255"/>
    <w:rsid w:val="006303F2"/>
    <w:rsid w:val="00630632"/>
    <w:rsid w:val="00630AA7"/>
    <w:rsid w:val="00630CA6"/>
    <w:rsid w:val="0063106E"/>
    <w:rsid w:val="006310EC"/>
    <w:rsid w:val="0063146E"/>
    <w:rsid w:val="0063151A"/>
    <w:rsid w:val="00631717"/>
    <w:rsid w:val="00631CBE"/>
    <w:rsid w:val="00632496"/>
    <w:rsid w:val="006326C8"/>
    <w:rsid w:val="00632A39"/>
    <w:rsid w:val="006331AD"/>
    <w:rsid w:val="006348E6"/>
    <w:rsid w:val="00634CD2"/>
    <w:rsid w:val="006350E3"/>
    <w:rsid w:val="00635BE8"/>
    <w:rsid w:val="00636091"/>
    <w:rsid w:val="006363D6"/>
    <w:rsid w:val="0063693B"/>
    <w:rsid w:val="00636AFE"/>
    <w:rsid w:val="00636E9B"/>
    <w:rsid w:val="00636FC0"/>
    <w:rsid w:val="006375DB"/>
    <w:rsid w:val="00637842"/>
    <w:rsid w:val="006378C1"/>
    <w:rsid w:val="00637CCC"/>
    <w:rsid w:val="00637D89"/>
    <w:rsid w:val="00640487"/>
    <w:rsid w:val="00640727"/>
    <w:rsid w:val="00640BC7"/>
    <w:rsid w:val="00640D85"/>
    <w:rsid w:val="00640F28"/>
    <w:rsid w:val="0064101C"/>
    <w:rsid w:val="00641B14"/>
    <w:rsid w:val="00641B1F"/>
    <w:rsid w:val="00641DAA"/>
    <w:rsid w:val="006421A9"/>
    <w:rsid w:val="00642466"/>
    <w:rsid w:val="00642B05"/>
    <w:rsid w:val="006430C4"/>
    <w:rsid w:val="00643962"/>
    <w:rsid w:val="00643A36"/>
    <w:rsid w:val="00643B2A"/>
    <w:rsid w:val="00644663"/>
    <w:rsid w:val="00644C45"/>
    <w:rsid w:val="00644EE4"/>
    <w:rsid w:val="00644F19"/>
    <w:rsid w:val="006453B7"/>
    <w:rsid w:val="00645697"/>
    <w:rsid w:val="00646E39"/>
    <w:rsid w:val="00647407"/>
    <w:rsid w:val="006503CD"/>
    <w:rsid w:val="00650A2B"/>
    <w:rsid w:val="006515C3"/>
    <w:rsid w:val="006519B0"/>
    <w:rsid w:val="00651C37"/>
    <w:rsid w:val="00652170"/>
    <w:rsid w:val="00652594"/>
    <w:rsid w:val="006528CE"/>
    <w:rsid w:val="00652C58"/>
    <w:rsid w:val="00652F57"/>
    <w:rsid w:val="00652F6A"/>
    <w:rsid w:val="006530D7"/>
    <w:rsid w:val="00653A4E"/>
    <w:rsid w:val="00654030"/>
    <w:rsid w:val="006542EB"/>
    <w:rsid w:val="00654BAC"/>
    <w:rsid w:val="006563DB"/>
    <w:rsid w:val="0065694E"/>
    <w:rsid w:val="00656A20"/>
    <w:rsid w:val="0065716F"/>
    <w:rsid w:val="00657592"/>
    <w:rsid w:val="006575C8"/>
    <w:rsid w:val="006579A4"/>
    <w:rsid w:val="00657B98"/>
    <w:rsid w:val="00657E5F"/>
    <w:rsid w:val="00660136"/>
    <w:rsid w:val="0066032A"/>
    <w:rsid w:val="006609D6"/>
    <w:rsid w:val="00660DA0"/>
    <w:rsid w:val="00661C18"/>
    <w:rsid w:val="00661D84"/>
    <w:rsid w:val="00662288"/>
    <w:rsid w:val="00662332"/>
    <w:rsid w:val="00662B2E"/>
    <w:rsid w:val="0066321C"/>
    <w:rsid w:val="0066333B"/>
    <w:rsid w:val="006636DC"/>
    <w:rsid w:val="0066371D"/>
    <w:rsid w:val="006639C8"/>
    <w:rsid w:val="00664C8B"/>
    <w:rsid w:val="00664E7F"/>
    <w:rsid w:val="00665242"/>
    <w:rsid w:val="00665559"/>
    <w:rsid w:val="00665A1A"/>
    <w:rsid w:val="00665FB0"/>
    <w:rsid w:val="006660C9"/>
    <w:rsid w:val="006669E0"/>
    <w:rsid w:val="00670420"/>
    <w:rsid w:val="00670494"/>
    <w:rsid w:val="00670799"/>
    <w:rsid w:val="006707A1"/>
    <w:rsid w:val="00670971"/>
    <w:rsid w:val="00670E4A"/>
    <w:rsid w:val="00670F7D"/>
    <w:rsid w:val="006726D7"/>
    <w:rsid w:val="00672735"/>
    <w:rsid w:val="00672C75"/>
    <w:rsid w:val="00673322"/>
    <w:rsid w:val="00673762"/>
    <w:rsid w:val="006738F9"/>
    <w:rsid w:val="00674213"/>
    <w:rsid w:val="006743AD"/>
    <w:rsid w:val="00674B22"/>
    <w:rsid w:val="0067544B"/>
    <w:rsid w:val="00675DA8"/>
    <w:rsid w:val="00675F0E"/>
    <w:rsid w:val="006763C6"/>
    <w:rsid w:val="006764AF"/>
    <w:rsid w:val="00677246"/>
    <w:rsid w:val="006775F1"/>
    <w:rsid w:val="00677B6E"/>
    <w:rsid w:val="006803B1"/>
    <w:rsid w:val="006804C5"/>
    <w:rsid w:val="00680734"/>
    <w:rsid w:val="00680860"/>
    <w:rsid w:val="006812C4"/>
    <w:rsid w:val="00681692"/>
    <w:rsid w:val="006818DC"/>
    <w:rsid w:val="00682182"/>
    <w:rsid w:val="0068226D"/>
    <w:rsid w:val="00682976"/>
    <w:rsid w:val="00682E92"/>
    <w:rsid w:val="0068315D"/>
    <w:rsid w:val="00683330"/>
    <w:rsid w:val="00683732"/>
    <w:rsid w:val="00683C65"/>
    <w:rsid w:val="00683D5B"/>
    <w:rsid w:val="006843F0"/>
    <w:rsid w:val="0068463F"/>
    <w:rsid w:val="00684710"/>
    <w:rsid w:val="00684CFE"/>
    <w:rsid w:val="00685067"/>
    <w:rsid w:val="0068565A"/>
    <w:rsid w:val="00685FE2"/>
    <w:rsid w:val="006862C8"/>
    <w:rsid w:val="006866EC"/>
    <w:rsid w:val="00687513"/>
    <w:rsid w:val="006901ED"/>
    <w:rsid w:val="006904A3"/>
    <w:rsid w:val="0069073B"/>
    <w:rsid w:val="0069091F"/>
    <w:rsid w:val="00690A43"/>
    <w:rsid w:val="00690E08"/>
    <w:rsid w:val="006918FC"/>
    <w:rsid w:val="0069240F"/>
    <w:rsid w:val="00692770"/>
    <w:rsid w:val="00692842"/>
    <w:rsid w:val="006932DD"/>
    <w:rsid w:val="0069387C"/>
    <w:rsid w:val="00693CC3"/>
    <w:rsid w:val="006947AC"/>
    <w:rsid w:val="00694ACB"/>
    <w:rsid w:val="00695373"/>
    <w:rsid w:val="006957F6"/>
    <w:rsid w:val="00695A91"/>
    <w:rsid w:val="006968EF"/>
    <w:rsid w:val="00696964"/>
    <w:rsid w:val="006972D1"/>
    <w:rsid w:val="00697E0D"/>
    <w:rsid w:val="00697F42"/>
    <w:rsid w:val="006A049C"/>
    <w:rsid w:val="006A17BE"/>
    <w:rsid w:val="006A1956"/>
    <w:rsid w:val="006A2713"/>
    <w:rsid w:val="006A320A"/>
    <w:rsid w:val="006A3670"/>
    <w:rsid w:val="006A393D"/>
    <w:rsid w:val="006A3A26"/>
    <w:rsid w:val="006A41F2"/>
    <w:rsid w:val="006A431E"/>
    <w:rsid w:val="006A51A2"/>
    <w:rsid w:val="006A5992"/>
    <w:rsid w:val="006A5B83"/>
    <w:rsid w:val="006A5CEA"/>
    <w:rsid w:val="006A60D4"/>
    <w:rsid w:val="006A682C"/>
    <w:rsid w:val="006A6A2A"/>
    <w:rsid w:val="006A7447"/>
    <w:rsid w:val="006A77DA"/>
    <w:rsid w:val="006A79EC"/>
    <w:rsid w:val="006A7DD6"/>
    <w:rsid w:val="006B0062"/>
    <w:rsid w:val="006B04B3"/>
    <w:rsid w:val="006B115C"/>
    <w:rsid w:val="006B137B"/>
    <w:rsid w:val="006B15C2"/>
    <w:rsid w:val="006B1BB1"/>
    <w:rsid w:val="006B235C"/>
    <w:rsid w:val="006B242D"/>
    <w:rsid w:val="006B292D"/>
    <w:rsid w:val="006B2E14"/>
    <w:rsid w:val="006B31DB"/>
    <w:rsid w:val="006B4002"/>
    <w:rsid w:val="006B496B"/>
    <w:rsid w:val="006B4FC2"/>
    <w:rsid w:val="006B4FD6"/>
    <w:rsid w:val="006B51CE"/>
    <w:rsid w:val="006B6EED"/>
    <w:rsid w:val="006B7A60"/>
    <w:rsid w:val="006B7D65"/>
    <w:rsid w:val="006B7F3E"/>
    <w:rsid w:val="006C078F"/>
    <w:rsid w:val="006C0D2C"/>
    <w:rsid w:val="006C1CB6"/>
    <w:rsid w:val="006C1CD4"/>
    <w:rsid w:val="006C25E4"/>
    <w:rsid w:val="006C29FD"/>
    <w:rsid w:val="006C2AD2"/>
    <w:rsid w:val="006C2B52"/>
    <w:rsid w:val="006C30D1"/>
    <w:rsid w:val="006C32E4"/>
    <w:rsid w:val="006C4958"/>
    <w:rsid w:val="006C5114"/>
    <w:rsid w:val="006C527B"/>
    <w:rsid w:val="006C6D04"/>
    <w:rsid w:val="006C6D4D"/>
    <w:rsid w:val="006C7457"/>
    <w:rsid w:val="006D0479"/>
    <w:rsid w:val="006D0566"/>
    <w:rsid w:val="006D09EC"/>
    <w:rsid w:val="006D0A02"/>
    <w:rsid w:val="006D0A2D"/>
    <w:rsid w:val="006D0D02"/>
    <w:rsid w:val="006D1A13"/>
    <w:rsid w:val="006D1D4E"/>
    <w:rsid w:val="006D20C1"/>
    <w:rsid w:val="006D2AB1"/>
    <w:rsid w:val="006D3137"/>
    <w:rsid w:val="006D3875"/>
    <w:rsid w:val="006D3EE6"/>
    <w:rsid w:val="006D4642"/>
    <w:rsid w:val="006D48DC"/>
    <w:rsid w:val="006D4C89"/>
    <w:rsid w:val="006D50B9"/>
    <w:rsid w:val="006D5622"/>
    <w:rsid w:val="006D5B4D"/>
    <w:rsid w:val="006D5CC4"/>
    <w:rsid w:val="006D5DB2"/>
    <w:rsid w:val="006D64F7"/>
    <w:rsid w:val="006D690F"/>
    <w:rsid w:val="006D72F5"/>
    <w:rsid w:val="006D73AD"/>
    <w:rsid w:val="006D73BF"/>
    <w:rsid w:val="006E004D"/>
    <w:rsid w:val="006E0BAE"/>
    <w:rsid w:val="006E0D33"/>
    <w:rsid w:val="006E109E"/>
    <w:rsid w:val="006E10D8"/>
    <w:rsid w:val="006E1746"/>
    <w:rsid w:val="006E1F37"/>
    <w:rsid w:val="006E1FB7"/>
    <w:rsid w:val="006E2180"/>
    <w:rsid w:val="006E2246"/>
    <w:rsid w:val="006E25B5"/>
    <w:rsid w:val="006E26C4"/>
    <w:rsid w:val="006E2ECB"/>
    <w:rsid w:val="006E3623"/>
    <w:rsid w:val="006E39A9"/>
    <w:rsid w:val="006E3BFD"/>
    <w:rsid w:val="006E406F"/>
    <w:rsid w:val="006E41B8"/>
    <w:rsid w:val="006E467D"/>
    <w:rsid w:val="006E50BA"/>
    <w:rsid w:val="006E570B"/>
    <w:rsid w:val="006E5E5E"/>
    <w:rsid w:val="006E748B"/>
    <w:rsid w:val="006E752D"/>
    <w:rsid w:val="006E7BA1"/>
    <w:rsid w:val="006E7C5E"/>
    <w:rsid w:val="006F09E9"/>
    <w:rsid w:val="006F0A72"/>
    <w:rsid w:val="006F1259"/>
    <w:rsid w:val="006F1FAF"/>
    <w:rsid w:val="006F22CB"/>
    <w:rsid w:val="006F2610"/>
    <w:rsid w:val="006F2737"/>
    <w:rsid w:val="006F2AE5"/>
    <w:rsid w:val="006F2FEA"/>
    <w:rsid w:val="006F3538"/>
    <w:rsid w:val="006F3826"/>
    <w:rsid w:val="006F40C2"/>
    <w:rsid w:val="006F415D"/>
    <w:rsid w:val="006F43FC"/>
    <w:rsid w:val="006F4843"/>
    <w:rsid w:val="006F49F7"/>
    <w:rsid w:val="006F5AB1"/>
    <w:rsid w:val="006F6757"/>
    <w:rsid w:val="006F679D"/>
    <w:rsid w:val="006F7035"/>
    <w:rsid w:val="00700178"/>
    <w:rsid w:val="0070059E"/>
    <w:rsid w:val="00700CB3"/>
    <w:rsid w:val="00700E6A"/>
    <w:rsid w:val="00700FBF"/>
    <w:rsid w:val="0070110E"/>
    <w:rsid w:val="00701851"/>
    <w:rsid w:val="007026B7"/>
    <w:rsid w:val="00702A15"/>
    <w:rsid w:val="00702E2A"/>
    <w:rsid w:val="0070337A"/>
    <w:rsid w:val="0070370E"/>
    <w:rsid w:val="007039B1"/>
    <w:rsid w:val="00703C2C"/>
    <w:rsid w:val="00704E40"/>
    <w:rsid w:val="0070519C"/>
    <w:rsid w:val="00705203"/>
    <w:rsid w:val="007055D3"/>
    <w:rsid w:val="00705831"/>
    <w:rsid w:val="00705851"/>
    <w:rsid w:val="007059D2"/>
    <w:rsid w:val="00705E05"/>
    <w:rsid w:val="00706670"/>
    <w:rsid w:val="00706EC1"/>
    <w:rsid w:val="00707B15"/>
    <w:rsid w:val="00707D9D"/>
    <w:rsid w:val="007108D9"/>
    <w:rsid w:val="007111A9"/>
    <w:rsid w:val="00711A27"/>
    <w:rsid w:val="00711C88"/>
    <w:rsid w:val="007120FD"/>
    <w:rsid w:val="0071267D"/>
    <w:rsid w:val="00712AF6"/>
    <w:rsid w:val="0071332F"/>
    <w:rsid w:val="00713402"/>
    <w:rsid w:val="007137D1"/>
    <w:rsid w:val="00714DBB"/>
    <w:rsid w:val="00715352"/>
    <w:rsid w:val="007158BF"/>
    <w:rsid w:val="00715E59"/>
    <w:rsid w:val="00715E9B"/>
    <w:rsid w:val="00716072"/>
    <w:rsid w:val="00716414"/>
    <w:rsid w:val="00716C78"/>
    <w:rsid w:val="00717C00"/>
    <w:rsid w:val="007206E7"/>
    <w:rsid w:val="00720ABE"/>
    <w:rsid w:val="00720B06"/>
    <w:rsid w:val="007210D8"/>
    <w:rsid w:val="007211EE"/>
    <w:rsid w:val="00721A75"/>
    <w:rsid w:val="00721BD1"/>
    <w:rsid w:val="007220A8"/>
    <w:rsid w:val="00722127"/>
    <w:rsid w:val="00722619"/>
    <w:rsid w:val="007227EA"/>
    <w:rsid w:val="00722F27"/>
    <w:rsid w:val="00723261"/>
    <w:rsid w:val="0072424C"/>
    <w:rsid w:val="00724778"/>
    <w:rsid w:val="00725A8D"/>
    <w:rsid w:val="00725C86"/>
    <w:rsid w:val="0072666C"/>
    <w:rsid w:val="00726A21"/>
    <w:rsid w:val="0072717B"/>
    <w:rsid w:val="00727593"/>
    <w:rsid w:val="00727C32"/>
    <w:rsid w:val="00727E00"/>
    <w:rsid w:val="00730296"/>
    <w:rsid w:val="0073095A"/>
    <w:rsid w:val="00731767"/>
    <w:rsid w:val="0073187A"/>
    <w:rsid w:val="00732001"/>
    <w:rsid w:val="00732620"/>
    <w:rsid w:val="00732B91"/>
    <w:rsid w:val="007337CB"/>
    <w:rsid w:val="00734335"/>
    <w:rsid w:val="007347AB"/>
    <w:rsid w:val="0073484E"/>
    <w:rsid w:val="00734B95"/>
    <w:rsid w:val="00734F58"/>
    <w:rsid w:val="00735179"/>
    <w:rsid w:val="00735269"/>
    <w:rsid w:val="007352DF"/>
    <w:rsid w:val="00735C93"/>
    <w:rsid w:val="007361DC"/>
    <w:rsid w:val="007361F6"/>
    <w:rsid w:val="00736A92"/>
    <w:rsid w:val="007372E5"/>
    <w:rsid w:val="00737B40"/>
    <w:rsid w:val="007402DB"/>
    <w:rsid w:val="00740C55"/>
    <w:rsid w:val="00740CFE"/>
    <w:rsid w:val="00740F76"/>
    <w:rsid w:val="007419FA"/>
    <w:rsid w:val="00741D7F"/>
    <w:rsid w:val="00741EEB"/>
    <w:rsid w:val="00743037"/>
    <w:rsid w:val="007433AD"/>
    <w:rsid w:val="00743449"/>
    <w:rsid w:val="00743628"/>
    <w:rsid w:val="0074379E"/>
    <w:rsid w:val="0074388B"/>
    <w:rsid w:val="007444CC"/>
    <w:rsid w:val="0074466C"/>
    <w:rsid w:val="007448C1"/>
    <w:rsid w:val="00745041"/>
    <w:rsid w:val="007451C1"/>
    <w:rsid w:val="007457E0"/>
    <w:rsid w:val="0074589D"/>
    <w:rsid w:val="0074673A"/>
    <w:rsid w:val="007472BB"/>
    <w:rsid w:val="00747919"/>
    <w:rsid w:val="00747E9B"/>
    <w:rsid w:val="00750303"/>
    <w:rsid w:val="00750E06"/>
    <w:rsid w:val="007521D7"/>
    <w:rsid w:val="00752227"/>
    <w:rsid w:val="007523FE"/>
    <w:rsid w:val="00752530"/>
    <w:rsid w:val="0075270E"/>
    <w:rsid w:val="00752AF0"/>
    <w:rsid w:val="00752DA8"/>
    <w:rsid w:val="0075300E"/>
    <w:rsid w:val="007535D8"/>
    <w:rsid w:val="0075369D"/>
    <w:rsid w:val="007536F4"/>
    <w:rsid w:val="007557E8"/>
    <w:rsid w:val="00755BA6"/>
    <w:rsid w:val="00755F6A"/>
    <w:rsid w:val="007560E0"/>
    <w:rsid w:val="00756509"/>
    <w:rsid w:val="00756666"/>
    <w:rsid w:val="00756F89"/>
    <w:rsid w:val="007574C0"/>
    <w:rsid w:val="00757C4A"/>
    <w:rsid w:val="00760624"/>
    <w:rsid w:val="00760BE1"/>
    <w:rsid w:val="007617DD"/>
    <w:rsid w:val="00761B0B"/>
    <w:rsid w:val="00761D8D"/>
    <w:rsid w:val="007622D3"/>
    <w:rsid w:val="007622F9"/>
    <w:rsid w:val="007633D6"/>
    <w:rsid w:val="007636D3"/>
    <w:rsid w:val="00763934"/>
    <w:rsid w:val="0076405E"/>
    <w:rsid w:val="0076446E"/>
    <w:rsid w:val="00764998"/>
    <w:rsid w:val="00764F8E"/>
    <w:rsid w:val="007657A7"/>
    <w:rsid w:val="007658B8"/>
    <w:rsid w:val="007665C0"/>
    <w:rsid w:val="00766D1A"/>
    <w:rsid w:val="007672CB"/>
    <w:rsid w:val="007672F2"/>
    <w:rsid w:val="00767496"/>
    <w:rsid w:val="00767597"/>
    <w:rsid w:val="007701C5"/>
    <w:rsid w:val="007705C6"/>
    <w:rsid w:val="007705F2"/>
    <w:rsid w:val="0077098B"/>
    <w:rsid w:val="00770CD3"/>
    <w:rsid w:val="007712F4"/>
    <w:rsid w:val="0077186D"/>
    <w:rsid w:val="00771EDB"/>
    <w:rsid w:val="007721DA"/>
    <w:rsid w:val="00772F27"/>
    <w:rsid w:val="00773341"/>
    <w:rsid w:val="00773793"/>
    <w:rsid w:val="00773B41"/>
    <w:rsid w:val="007741F4"/>
    <w:rsid w:val="0077479D"/>
    <w:rsid w:val="007748E6"/>
    <w:rsid w:val="007767BC"/>
    <w:rsid w:val="00776C4E"/>
    <w:rsid w:val="00776F9E"/>
    <w:rsid w:val="0077733A"/>
    <w:rsid w:val="007774A2"/>
    <w:rsid w:val="007776A9"/>
    <w:rsid w:val="00777DDD"/>
    <w:rsid w:val="00777DF8"/>
    <w:rsid w:val="0078005E"/>
    <w:rsid w:val="00780F62"/>
    <w:rsid w:val="0078100F"/>
    <w:rsid w:val="0078164A"/>
    <w:rsid w:val="00781D22"/>
    <w:rsid w:val="00783596"/>
    <w:rsid w:val="007835D7"/>
    <w:rsid w:val="007836CD"/>
    <w:rsid w:val="00783897"/>
    <w:rsid w:val="00783922"/>
    <w:rsid w:val="00784308"/>
    <w:rsid w:val="00784398"/>
    <w:rsid w:val="00785732"/>
    <w:rsid w:val="00785BC8"/>
    <w:rsid w:val="007860F3"/>
    <w:rsid w:val="00786459"/>
    <w:rsid w:val="00786BA3"/>
    <w:rsid w:val="007879D6"/>
    <w:rsid w:val="00787A3F"/>
    <w:rsid w:val="00787D4C"/>
    <w:rsid w:val="00787E92"/>
    <w:rsid w:val="007902A7"/>
    <w:rsid w:val="00790C18"/>
    <w:rsid w:val="00790ED3"/>
    <w:rsid w:val="00791A81"/>
    <w:rsid w:val="00792C00"/>
    <w:rsid w:val="00792EE6"/>
    <w:rsid w:val="00792FB0"/>
    <w:rsid w:val="0079328E"/>
    <w:rsid w:val="0079378F"/>
    <w:rsid w:val="00793848"/>
    <w:rsid w:val="007938AE"/>
    <w:rsid w:val="00793C98"/>
    <w:rsid w:val="007941E4"/>
    <w:rsid w:val="007943B2"/>
    <w:rsid w:val="00794430"/>
    <w:rsid w:val="00795531"/>
    <w:rsid w:val="00795771"/>
    <w:rsid w:val="00796096"/>
    <w:rsid w:val="00796BF5"/>
    <w:rsid w:val="007974F9"/>
    <w:rsid w:val="00797AD7"/>
    <w:rsid w:val="00797FE8"/>
    <w:rsid w:val="007A04A6"/>
    <w:rsid w:val="007A086D"/>
    <w:rsid w:val="007A0BC4"/>
    <w:rsid w:val="007A0EC5"/>
    <w:rsid w:val="007A0F04"/>
    <w:rsid w:val="007A1137"/>
    <w:rsid w:val="007A13B2"/>
    <w:rsid w:val="007A1419"/>
    <w:rsid w:val="007A17DE"/>
    <w:rsid w:val="007A1FA7"/>
    <w:rsid w:val="007A40A1"/>
    <w:rsid w:val="007A4AAE"/>
    <w:rsid w:val="007A4D50"/>
    <w:rsid w:val="007A52BF"/>
    <w:rsid w:val="007A5B56"/>
    <w:rsid w:val="007A6364"/>
    <w:rsid w:val="007A6825"/>
    <w:rsid w:val="007A68AB"/>
    <w:rsid w:val="007A6EA8"/>
    <w:rsid w:val="007A7244"/>
    <w:rsid w:val="007A7442"/>
    <w:rsid w:val="007A7484"/>
    <w:rsid w:val="007A762F"/>
    <w:rsid w:val="007A7A15"/>
    <w:rsid w:val="007A7D52"/>
    <w:rsid w:val="007B0181"/>
    <w:rsid w:val="007B0C42"/>
    <w:rsid w:val="007B0CF9"/>
    <w:rsid w:val="007B169B"/>
    <w:rsid w:val="007B1B89"/>
    <w:rsid w:val="007B1D4D"/>
    <w:rsid w:val="007B27F5"/>
    <w:rsid w:val="007B29AF"/>
    <w:rsid w:val="007B2FD3"/>
    <w:rsid w:val="007B3399"/>
    <w:rsid w:val="007B3C4D"/>
    <w:rsid w:val="007B4036"/>
    <w:rsid w:val="007B490B"/>
    <w:rsid w:val="007B4BAF"/>
    <w:rsid w:val="007B4C32"/>
    <w:rsid w:val="007B55FC"/>
    <w:rsid w:val="007B5B89"/>
    <w:rsid w:val="007B6BE4"/>
    <w:rsid w:val="007B703F"/>
    <w:rsid w:val="007B7CCE"/>
    <w:rsid w:val="007C1069"/>
    <w:rsid w:val="007C17CB"/>
    <w:rsid w:val="007C17DA"/>
    <w:rsid w:val="007C1AED"/>
    <w:rsid w:val="007C29EE"/>
    <w:rsid w:val="007C2D65"/>
    <w:rsid w:val="007C3692"/>
    <w:rsid w:val="007C3739"/>
    <w:rsid w:val="007C38A4"/>
    <w:rsid w:val="007C3A1F"/>
    <w:rsid w:val="007C3CD9"/>
    <w:rsid w:val="007C3D1D"/>
    <w:rsid w:val="007C3D92"/>
    <w:rsid w:val="007C3EF7"/>
    <w:rsid w:val="007C40BD"/>
    <w:rsid w:val="007C40C9"/>
    <w:rsid w:val="007C40F7"/>
    <w:rsid w:val="007C44CA"/>
    <w:rsid w:val="007C588F"/>
    <w:rsid w:val="007C5D14"/>
    <w:rsid w:val="007C6708"/>
    <w:rsid w:val="007C72BD"/>
    <w:rsid w:val="007C7BD9"/>
    <w:rsid w:val="007C7CE2"/>
    <w:rsid w:val="007D01D4"/>
    <w:rsid w:val="007D0985"/>
    <w:rsid w:val="007D0FDA"/>
    <w:rsid w:val="007D1142"/>
    <w:rsid w:val="007D1220"/>
    <w:rsid w:val="007D15AD"/>
    <w:rsid w:val="007D237F"/>
    <w:rsid w:val="007D2506"/>
    <w:rsid w:val="007D2C55"/>
    <w:rsid w:val="007D2F53"/>
    <w:rsid w:val="007D2F8E"/>
    <w:rsid w:val="007D3F1B"/>
    <w:rsid w:val="007D4279"/>
    <w:rsid w:val="007D4F82"/>
    <w:rsid w:val="007D516B"/>
    <w:rsid w:val="007D5414"/>
    <w:rsid w:val="007D54F9"/>
    <w:rsid w:val="007D56B4"/>
    <w:rsid w:val="007D584F"/>
    <w:rsid w:val="007D5949"/>
    <w:rsid w:val="007D5E48"/>
    <w:rsid w:val="007D6935"/>
    <w:rsid w:val="007D6F12"/>
    <w:rsid w:val="007D7891"/>
    <w:rsid w:val="007D7C2C"/>
    <w:rsid w:val="007E01B5"/>
    <w:rsid w:val="007E0316"/>
    <w:rsid w:val="007E0768"/>
    <w:rsid w:val="007E0873"/>
    <w:rsid w:val="007E26E1"/>
    <w:rsid w:val="007E288D"/>
    <w:rsid w:val="007E2D83"/>
    <w:rsid w:val="007E32A4"/>
    <w:rsid w:val="007E4DD1"/>
    <w:rsid w:val="007E539B"/>
    <w:rsid w:val="007E5480"/>
    <w:rsid w:val="007E5AB5"/>
    <w:rsid w:val="007E5CFF"/>
    <w:rsid w:val="007E5ECF"/>
    <w:rsid w:val="007E6028"/>
    <w:rsid w:val="007E604D"/>
    <w:rsid w:val="007E6067"/>
    <w:rsid w:val="007E6366"/>
    <w:rsid w:val="007E6787"/>
    <w:rsid w:val="007E6DB4"/>
    <w:rsid w:val="007E708D"/>
    <w:rsid w:val="007E73B7"/>
    <w:rsid w:val="007E7D29"/>
    <w:rsid w:val="007F004F"/>
    <w:rsid w:val="007F0198"/>
    <w:rsid w:val="007F0221"/>
    <w:rsid w:val="007F0DED"/>
    <w:rsid w:val="007F104A"/>
    <w:rsid w:val="007F136D"/>
    <w:rsid w:val="007F1560"/>
    <w:rsid w:val="007F20C3"/>
    <w:rsid w:val="007F2182"/>
    <w:rsid w:val="007F21DB"/>
    <w:rsid w:val="007F2F5B"/>
    <w:rsid w:val="007F2FE5"/>
    <w:rsid w:val="007F33C4"/>
    <w:rsid w:val="007F379F"/>
    <w:rsid w:val="007F432C"/>
    <w:rsid w:val="007F437D"/>
    <w:rsid w:val="007F5247"/>
    <w:rsid w:val="007F52BC"/>
    <w:rsid w:val="007F53C8"/>
    <w:rsid w:val="007F5420"/>
    <w:rsid w:val="007F5A45"/>
    <w:rsid w:val="007F6028"/>
    <w:rsid w:val="007F606C"/>
    <w:rsid w:val="007F6707"/>
    <w:rsid w:val="007F6A9E"/>
    <w:rsid w:val="007F6D2D"/>
    <w:rsid w:val="007F6ED9"/>
    <w:rsid w:val="00800108"/>
    <w:rsid w:val="008003D3"/>
    <w:rsid w:val="00800F33"/>
    <w:rsid w:val="00801183"/>
    <w:rsid w:val="008012B8"/>
    <w:rsid w:val="0080165C"/>
    <w:rsid w:val="00801A5A"/>
    <w:rsid w:val="00801A6C"/>
    <w:rsid w:val="00801F5B"/>
    <w:rsid w:val="008020E4"/>
    <w:rsid w:val="00802280"/>
    <w:rsid w:val="008023D2"/>
    <w:rsid w:val="00802507"/>
    <w:rsid w:val="00802B6E"/>
    <w:rsid w:val="00802E64"/>
    <w:rsid w:val="00802F68"/>
    <w:rsid w:val="008030C1"/>
    <w:rsid w:val="00803C5C"/>
    <w:rsid w:val="008043D1"/>
    <w:rsid w:val="008046DB"/>
    <w:rsid w:val="00804E51"/>
    <w:rsid w:val="00805319"/>
    <w:rsid w:val="00805385"/>
    <w:rsid w:val="00805AD6"/>
    <w:rsid w:val="00806230"/>
    <w:rsid w:val="00806955"/>
    <w:rsid w:val="008074B0"/>
    <w:rsid w:val="0080772E"/>
    <w:rsid w:val="00807778"/>
    <w:rsid w:val="008106A5"/>
    <w:rsid w:val="00810911"/>
    <w:rsid w:val="00810A30"/>
    <w:rsid w:val="00810E51"/>
    <w:rsid w:val="00810E56"/>
    <w:rsid w:val="00810E8A"/>
    <w:rsid w:val="00811349"/>
    <w:rsid w:val="008113C0"/>
    <w:rsid w:val="008125BE"/>
    <w:rsid w:val="008138A9"/>
    <w:rsid w:val="00813F0E"/>
    <w:rsid w:val="008140AF"/>
    <w:rsid w:val="008141E8"/>
    <w:rsid w:val="0081422B"/>
    <w:rsid w:val="008142AD"/>
    <w:rsid w:val="0081462F"/>
    <w:rsid w:val="00814E12"/>
    <w:rsid w:val="00814E95"/>
    <w:rsid w:val="00816011"/>
    <w:rsid w:val="008168D9"/>
    <w:rsid w:val="0081692F"/>
    <w:rsid w:val="00816E4A"/>
    <w:rsid w:val="00816E86"/>
    <w:rsid w:val="00817CCC"/>
    <w:rsid w:val="00817EAB"/>
    <w:rsid w:val="008202BA"/>
    <w:rsid w:val="00820B13"/>
    <w:rsid w:val="00820C07"/>
    <w:rsid w:val="00821494"/>
    <w:rsid w:val="008217F2"/>
    <w:rsid w:val="008221DA"/>
    <w:rsid w:val="00822316"/>
    <w:rsid w:val="00822A01"/>
    <w:rsid w:val="00823060"/>
    <w:rsid w:val="00823185"/>
    <w:rsid w:val="008240C7"/>
    <w:rsid w:val="0082454C"/>
    <w:rsid w:val="00824C1F"/>
    <w:rsid w:val="008252E0"/>
    <w:rsid w:val="00825919"/>
    <w:rsid w:val="00825A38"/>
    <w:rsid w:val="00826DA3"/>
    <w:rsid w:val="008271B7"/>
    <w:rsid w:val="008279EF"/>
    <w:rsid w:val="00827EE4"/>
    <w:rsid w:val="00830A94"/>
    <w:rsid w:val="00832458"/>
    <w:rsid w:val="008327C1"/>
    <w:rsid w:val="00832942"/>
    <w:rsid w:val="00833257"/>
    <w:rsid w:val="008336C4"/>
    <w:rsid w:val="00833941"/>
    <w:rsid w:val="00833C1D"/>
    <w:rsid w:val="00833E92"/>
    <w:rsid w:val="00833FFD"/>
    <w:rsid w:val="00834AFF"/>
    <w:rsid w:val="00834D29"/>
    <w:rsid w:val="00834EF3"/>
    <w:rsid w:val="00834F6A"/>
    <w:rsid w:val="0083697A"/>
    <w:rsid w:val="0083775B"/>
    <w:rsid w:val="00837A3E"/>
    <w:rsid w:val="00837A4F"/>
    <w:rsid w:val="008404AE"/>
    <w:rsid w:val="008409B5"/>
    <w:rsid w:val="00840EDE"/>
    <w:rsid w:val="0084117C"/>
    <w:rsid w:val="0084140D"/>
    <w:rsid w:val="008414B9"/>
    <w:rsid w:val="00842162"/>
    <w:rsid w:val="00842BC3"/>
    <w:rsid w:val="00843F63"/>
    <w:rsid w:val="008440B0"/>
    <w:rsid w:val="0084459E"/>
    <w:rsid w:val="00844883"/>
    <w:rsid w:val="00844A47"/>
    <w:rsid w:val="0084503B"/>
    <w:rsid w:val="00845845"/>
    <w:rsid w:val="008503B9"/>
    <w:rsid w:val="00850B71"/>
    <w:rsid w:val="00850C4C"/>
    <w:rsid w:val="00851185"/>
    <w:rsid w:val="008511C6"/>
    <w:rsid w:val="0085136E"/>
    <w:rsid w:val="00851984"/>
    <w:rsid w:val="00851BCC"/>
    <w:rsid w:val="00852F24"/>
    <w:rsid w:val="008531F8"/>
    <w:rsid w:val="00853B55"/>
    <w:rsid w:val="00853BCE"/>
    <w:rsid w:val="00853D36"/>
    <w:rsid w:val="00853E50"/>
    <w:rsid w:val="00854548"/>
    <w:rsid w:val="0085498C"/>
    <w:rsid w:val="00855655"/>
    <w:rsid w:val="008557E5"/>
    <w:rsid w:val="00855A74"/>
    <w:rsid w:val="00855F96"/>
    <w:rsid w:val="008562EE"/>
    <w:rsid w:val="00856341"/>
    <w:rsid w:val="00856BEF"/>
    <w:rsid w:val="00857698"/>
    <w:rsid w:val="00857869"/>
    <w:rsid w:val="00857C15"/>
    <w:rsid w:val="00860EF9"/>
    <w:rsid w:val="00860F2C"/>
    <w:rsid w:val="00861343"/>
    <w:rsid w:val="008618D1"/>
    <w:rsid w:val="008618E7"/>
    <w:rsid w:val="008618EF"/>
    <w:rsid w:val="00861EEC"/>
    <w:rsid w:val="0086290C"/>
    <w:rsid w:val="00862C8E"/>
    <w:rsid w:val="00862DF6"/>
    <w:rsid w:val="008630D4"/>
    <w:rsid w:val="008641C7"/>
    <w:rsid w:val="00864499"/>
    <w:rsid w:val="008646E9"/>
    <w:rsid w:val="008649D6"/>
    <w:rsid w:val="00864BA2"/>
    <w:rsid w:val="00864FE4"/>
    <w:rsid w:val="0086582F"/>
    <w:rsid w:val="00865FC3"/>
    <w:rsid w:val="008660B0"/>
    <w:rsid w:val="0086710F"/>
    <w:rsid w:val="008671B1"/>
    <w:rsid w:val="00867966"/>
    <w:rsid w:val="00867BD5"/>
    <w:rsid w:val="00867E79"/>
    <w:rsid w:val="008700F9"/>
    <w:rsid w:val="008701EF"/>
    <w:rsid w:val="00870844"/>
    <w:rsid w:val="00870988"/>
    <w:rsid w:val="00870B29"/>
    <w:rsid w:val="00870BB0"/>
    <w:rsid w:val="0087169A"/>
    <w:rsid w:val="00871D28"/>
    <w:rsid w:val="008722F5"/>
    <w:rsid w:val="008726F7"/>
    <w:rsid w:val="008728A1"/>
    <w:rsid w:val="0087299C"/>
    <w:rsid w:val="00872CFD"/>
    <w:rsid w:val="00872FE8"/>
    <w:rsid w:val="00873573"/>
    <w:rsid w:val="00873C3F"/>
    <w:rsid w:val="008742C7"/>
    <w:rsid w:val="008743E4"/>
    <w:rsid w:val="00874924"/>
    <w:rsid w:val="0087515E"/>
    <w:rsid w:val="008752CF"/>
    <w:rsid w:val="00875755"/>
    <w:rsid w:val="00875807"/>
    <w:rsid w:val="008759D3"/>
    <w:rsid w:val="00875AF9"/>
    <w:rsid w:val="0087607C"/>
    <w:rsid w:val="00876335"/>
    <w:rsid w:val="00876692"/>
    <w:rsid w:val="00877B85"/>
    <w:rsid w:val="0088097A"/>
    <w:rsid w:val="00880B42"/>
    <w:rsid w:val="00880D66"/>
    <w:rsid w:val="008813B2"/>
    <w:rsid w:val="00881F26"/>
    <w:rsid w:val="0088274A"/>
    <w:rsid w:val="00882C33"/>
    <w:rsid w:val="0088362B"/>
    <w:rsid w:val="0088373B"/>
    <w:rsid w:val="00883858"/>
    <w:rsid w:val="008838A5"/>
    <w:rsid w:val="00883EA3"/>
    <w:rsid w:val="0088451F"/>
    <w:rsid w:val="00884635"/>
    <w:rsid w:val="008849C4"/>
    <w:rsid w:val="0088505C"/>
    <w:rsid w:val="00885213"/>
    <w:rsid w:val="0088535C"/>
    <w:rsid w:val="008857DD"/>
    <w:rsid w:val="00886538"/>
    <w:rsid w:val="0088657B"/>
    <w:rsid w:val="008875A4"/>
    <w:rsid w:val="00887B31"/>
    <w:rsid w:val="00887E9C"/>
    <w:rsid w:val="00887EF2"/>
    <w:rsid w:val="0089070F"/>
    <w:rsid w:val="0089075D"/>
    <w:rsid w:val="00890876"/>
    <w:rsid w:val="00890DC2"/>
    <w:rsid w:val="008913B4"/>
    <w:rsid w:val="0089162E"/>
    <w:rsid w:val="00891749"/>
    <w:rsid w:val="00891D2E"/>
    <w:rsid w:val="00892569"/>
    <w:rsid w:val="00892825"/>
    <w:rsid w:val="00892AA9"/>
    <w:rsid w:val="00892CC6"/>
    <w:rsid w:val="00893139"/>
    <w:rsid w:val="00893DDA"/>
    <w:rsid w:val="0089419C"/>
    <w:rsid w:val="0089535B"/>
    <w:rsid w:val="008956A8"/>
    <w:rsid w:val="008957C9"/>
    <w:rsid w:val="008960A8"/>
    <w:rsid w:val="0089610A"/>
    <w:rsid w:val="00896189"/>
    <w:rsid w:val="00896C6C"/>
    <w:rsid w:val="00896EFF"/>
    <w:rsid w:val="00897154"/>
    <w:rsid w:val="00897CBD"/>
    <w:rsid w:val="008A0816"/>
    <w:rsid w:val="008A0B6C"/>
    <w:rsid w:val="008A10E0"/>
    <w:rsid w:val="008A1272"/>
    <w:rsid w:val="008A1442"/>
    <w:rsid w:val="008A1D43"/>
    <w:rsid w:val="008A1E14"/>
    <w:rsid w:val="008A23ED"/>
    <w:rsid w:val="008A29DE"/>
    <w:rsid w:val="008A2B9C"/>
    <w:rsid w:val="008A3182"/>
    <w:rsid w:val="008A3284"/>
    <w:rsid w:val="008A3915"/>
    <w:rsid w:val="008A3A02"/>
    <w:rsid w:val="008A3B75"/>
    <w:rsid w:val="008A4241"/>
    <w:rsid w:val="008A4282"/>
    <w:rsid w:val="008A4709"/>
    <w:rsid w:val="008A53F4"/>
    <w:rsid w:val="008A5FBC"/>
    <w:rsid w:val="008A6503"/>
    <w:rsid w:val="008A65DB"/>
    <w:rsid w:val="008A6BE0"/>
    <w:rsid w:val="008A7578"/>
    <w:rsid w:val="008A7855"/>
    <w:rsid w:val="008B0A0A"/>
    <w:rsid w:val="008B10C1"/>
    <w:rsid w:val="008B11AC"/>
    <w:rsid w:val="008B1ACA"/>
    <w:rsid w:val="008B1C97"/>
    <w:rsid w:val="008B220D"/>
    <w:rsid w:val="008B25CD"/>
    <w:rsid w:val="008B2863"/>
    <w:rsid w:val="008B2D67"/>
    <w:rsid w:val="008B2E0C"/>
    <w:rsid w:val="008B315D"/>
    <w:rsid w:val="008B3971"/>
    <w:rsid w:val="008B3ED8"/>
    <w:rsid w:val="008B4D01"/>
    <w:rsid w:val="008B5093"/>
    <w:rsid w:val="008B570F"/>
    <w:rsid w:val="008B5753"/>
    <w:rsid w:val="008B5F71"/>
    <w:rsid w:val="008B6034"/>
    <w:rsid w:val="008B60DA"/>
    <w:rsid w:val="008B662F"/>
    <w:rsid w:val="008B6860"/>
    <w:rsid w:val="008B6B9F"/>
    <w:rsid w:val="008B7609"/>
    <w:rsid w:val="008B7926"/>
    <w:rsid w:val="008B7DBB"/>
    <w:rsid w:val="008C0730"/>
    <w:rsid w:val="008C0BF7"/>
    <w:rsid w:val="008C0EC8"/>
    <w:rsid w:val="008C103A"/>
    <w:rsid w:val="008C1082"/>
    <w:rsid w:val="008C1A9F"/>
    <w:rsid w:val="008C1C8F"/>
    <w:rsid w:val="008C2200"/>
    <w:rsid w:val="008C262A"/>
    <w:rsid w:val="008C26A2"/>
    <w:rsid w:val="008C2763"/>
    <w:rsid w:val="008C277A"/>
    <w:rsid w:val="008C3412"/>
    <w:rsid w:val="008C3E4E"/>
    <w:rsid w:val="008C40C3"/>
    <w:rsid w:val="008C46F8"/>
    <w:rsid w:val="008C50D3"/>
    <w:rsid w:val="008C551E"/>
    <w:rsid w:val="008C5A00"/>
    <w:rsid w:val="008C65F2"/>
    <w:rsid w:val="008C734B"/>
    <w:rsid w:val="008C7875"/>
    <w:rsid w:val="008D0546"/>
    <w:rsid w:val="008D0726"/>
    <w:rsid w:val="008D0743"/>
    <w:rsid w:val="008D0850"/>
    <w:rsid w:val="008D0CA4"/>
    <w:rsid w:val="008D0E24"/>
    <w:rsid w:val="008D0F50"/>
    <w:rsid w:val="008D1388"/>
    <w:rsid w:val="008D148E"/>
    <w:rsid w:val="008D1613"/>
    <w:rsid w:val="008D1C82"/>
    <w:rsid w:val="008D1FFA"/>
    <w:rsid w:val="008D23EF"/>
    <w:rsid w:val="008D2FBD"/>
    <w:rsid w:val="008D39D4"/>
    <w:rsid w:val="008D3BD7"/>
    <w:rsid w:val="008D44AC"/>
    <w:rsid w:val="008D59F2"/>
    <w:rsid w:val="008D6261"/>
    <w:rsid w:val="008D6587"/>
    <w:rsid w:val="008D666A"/>
    <w:rsid w:val="008D6953"/>
    <w:rsid w:val="008D6B1B"/>
    <w:rsid w:val="008D6DB6"/>
    <w:rsid w:val="008D6ED1"/>
    <w:rsid w:val="008D7285"/>
    <w:rsid w:val="008E02EC"/>
    <w:rsid w:val="008E06D9"/>
    <w:rsid w:val="008E0D37"/>
    <w:rsid w:val="008E12E1"/>
    <w:rsid w:val="008E1778"/>
    <w:rsid w:val="008E1C11"/>
    <w:rsid w:val="008E2B70"/>
    <w:rsid w:val="008E4560"/>
    <w:rsid w:val="008E4838"/>
    <w:rsid w:val="008E48B6"/>
    <w:rsid w:val="008E4B7C"/>
    <w:rsid w:val="008E4C14"/>
    <w:rsid w:val="008E4EEF"/>
    <w:rsid w:val="008E4F47"/>
    <w:rsid w:val="008E5510"/>
    <w:rsid w:val="008E5B05"/>
    <w:rsid w:val="008E5D6C"/>
    <w:rsid w:val="008E5FF1"/>
    <w:rsid w:val="008E600E"/>
    <w:rsid w:val="008E657A"/>
    <w:rsid w:val="008E67CA"/>
    <w:rsid w:val="008E6907"/>
    <w:rsid w:val="008E696B"/>
    <w:rsid w:val="008E6F12"/>
    <w:rsid w:val="008E705A"/>
    <w:rsid w:val="008E719D"/>
    <w:rsid w:val="008E75AA"/>
    <w:rsid w:val="008E7C32"/>
    <w:rsid w:val="008E7DE1"/>
    <w:rsid w:val="008F0138"/>
    <w:rsid w:val="008F013E"/>
    <w:rsid w:val="008F0336"/>
    <w:rsid w:val="008F07FA"/>
    <w:rsid w:val="008F097A"/>
    <w:rsid w:val="008F1950"/>
    <w:rsid w:val="008F19CF"/>
    <w:rsid w:val="008F20BF"/>
    <w:rsid w:val="008F29A4"/>
    <w:rsid w:val="008F2C8C"/>
    <w:rsid w:val="008F2D36"/>
    <w:rsid w:val="008F2ECB"/>
    <w:rsid w:val="008F383E"/>
    <w:rsid w:val="008F3980"/>
    <w:rsid w:val="008F39D4"/>
    <w:rsid w:val="008F3F37"/>
    <w:rsid w:val="008F3FAF"/>
    <w:rsid w:val="008F4118"/>
    <w:rsid w:val="008F41AA"/>
    <w:rsid w:val="008F4DB9"/>
    <w:rsid w:val="008F4FE4"/>
    <w:rsid w:val="008F58A9"/>
    <w:rsid w:val="008F6325"/>
    <w:rsid w:val="008F642D"/>
    <w:rsid w:val="008F67ED"/>
    <w:rsid w:val="008F6E3C"/>
    <w:rsid w:val="008F7DB7"/>
    <w:rsid w:val="009003AF"/>
    <w:rsid w:val="009007E7"/>
    <w:rsid w:val="009009BF"/>
    <w:rsid w:val="00900B79"/>
    <w:rsid w:val="00900E83"/>
    <w:rsid w:val="00901908"/>
    <w:rsid w:val="009021A3"/>
    <w:rsid w:val="00902F28"/>
    <w:rsid w:val="00902F70"/>
    <w:rsid w:val="00903733"/>
    <w:rsid w:val="00904068"/>
    <w:rsid w:val="00904935"/>
    <w:rsid w:val="00904D01"/>
    <w:rsid w:val="00905486"/>
    <w:rsid w:val="0090590C"/>
    <w:rsid w:val="009059A7"/>
    <w:rsid w:val="0090669A"/>
    <w:rsid w:val="009069BB"/>
    <w:rsid w:val="00906A58"/>
    <w:rsid w:val="00906D1A"/>
    <w:rsid w:val="009072A1"/>
    <w:rsid w:val="0090735D"/>
    <w:rsid w:val="009073B6"/>
    <w:rsid w:val="009104F0"/>
    <w:rsid w:val="0091051E"/>
    <w:rsid w:val="00910D1C"/>
    <w:rsid w:val="00910D69"/>
    <w:rsid w:val="009111B3"/>
    <w:rsid w:val="00911624"/>
    <w:rsid w:val="009117AE"/>
    <w:rsid w:val="0091182E"/>
    <w:rsid w:val="00911BA7"/>
    <w:rsid w:val="0091200D"/>
    <w:rsid w:val="009125E8"/>
    <w:rsid w:val="00912698"/>
    <w:rsid w:val="00912A3C"/>
    <w:rsid w:val="00912B4B"/>
    <w:rsid w:val="00912C5C"/>
    <w:rsid w:val="00912DAB"/>
    <w:rsid w:val="0091392D"/>
    <w:rsid w:val="00913DAA"/>
    <w:rsid w:val="00913DBA"/>
    <w:rsid w:val="00913DE9"/>
    <w:rsid w:val="0091448F"/>
    <w:rsid w:val="009153FB"/>
    <w:rsid w:val="00915E17"/>
    <w:rsid w:val="00916638"/>
    <w:rsid w:val="00916B5A"/>
    <w:rsid w:val="00917380"/>
    <w:rsid w:val="00917841"/>
    <w:rsid w:val="00917F69"/>
    <w:rsid w:val="009201DB"/>
    <w:rsid w:val="00920973"/>
    <w:rsid w:val="00920A3E"/>
    <w:rsid w:val="00920BBA"/>
    <w:rsid w:val="00920D78"/>
    <w:rsid w:val="00920E51"/>
    <w:rsid w:val="0092136E"/>
    <w:rsid w:val="009218F8"/>
    <w:rsid w:val="00921969"/>
    <w:rsid w:val="00922705"/>
    <w:rsid w:val="00922BEA"/>
    <w:rsid w:val="0092348B"/>
    <w:rsid w:val="009241D6"/>
    <w:rsid w:val="009248C0"/>
    <w:rsid w:val="00924A14"/>
    <w:rsid w:val="00924D36"/>
    <w:rsid w:val="00925D2B"/>
    <w:rsid w:val="00926413"/>
    <w:rsid w:val="00926EBA"/>
    <w:rsid w:val="009273B2"/>
    <w:rsid w:val="0092774F"/>
    <w:rsid w:val="00927822"/>
    <w:rsid w:val="00927D4F"/>
    <w:rsid w:val="0093079D"/>
    <w:rsid w:val="0093116F"/>
    <w:rsid w:val="009327A9"/>
    <w:rsid w:val="00932E35"/>
    <w:rsid w:val="00933EBA"/>
    <w:rsid w:val="00934259"/>
    <w:rsid w:val="00934541"/>
    <w:rsid w:val="0093469D"/>
    <w:rsid w:val="00934776"/>
    <w:rsid w:val="00934BA2"/>
    <w:rsid w:val="009350F9"/>
    <w:rsid w:val="0093527E"/>
    <w:rsid w:val="009354AE"/>
    <w:rsid w:val="00935605"/>
    <w:rsid w:val="00935E7B"/>
    <w:rsid w:val="00936135"/>
    <w:rsid w:val="00936257"/>
    <w:rsid w:val="00936494"/>
    <w:rsid w:val="00936810"/>
    <w:rsid w:val="00936E23"/>
    <w:rsid w:val="00936F0C"/>
    <w:rsid w:val="0093722C"/>
    <w:rsid w:val="00937593"/>
    <w:rsid w:val="00937DED"/>
    <w:rsid w:val="00937EE3"/>
    <w:rsid w:val="00940144"/>
    <w:rsid w:val="0094017C"/>
    <w:rsid w:val="00940476"/>
    <w:rsid w:val="009412F6"/>
    <w:rsid w:val="009413CA"/>
    <w:rsid w:val="00941934"/>
    <w:rsid w:val="00941CB2"/>
    <w:rsid w:val="00941D1D"/>
    <w:rsid w:val="00942695"/>
    <w:rsid w:val="00942861"/>
    <w:rsid w:val="00942AD1"/>
    <w:rsid w:val="00942B2C"/>
    <w:rsid w:val="00942D10"/>
    <w:rsid w:val="00942E5E"/>
    <w:rsid w:val="00943297"/>
    <w:rsid w:val="00944174"/>
    <w:rsid w:val="009444F9"/>
    <w:rsid w:val="0094460A"/>
    <w:rsid w:val="00944827"/>
    <w:rsid w:val="00944B4D"/>
    <w:rsid w:val="00944CB7"/>
    <w:rsid w:val="009451CD"/>
    <w:rsid w:val="009456BC"/>
    <w:rsid w:val="00945CD6"/>
    <w:rsid w:val="00946196"/>
    <w:rsid w:val="009472BD"/>
    <w:rsid w:val="009475ED"/>
    <w:rsid w:val="009479F3"/>
    <w:rsid w:val="00947F61"/>
    <w:rsid w:val="009502A8"/>
    <w:rsid w:val="009506F6"/>
    <w:rsid w:val="00950BB9"/>
    <w:rsid w:val="00950E8D"/>
    <w:rsid w:val="00950EA4"/>
    <w:rsid w:val="00951931"/>
    <w:rsid w:val="009527A6"/>
    <w:rsid w:val="0095284B"/>
    <w:rsid w:val="00952D34"/>
    <w:rsid w:val="00952DF0"/>
    <w:rsid w:val="00952E9C"/>
    <w:rsid w:val="009530D3"/>
    <w:rsid w:val="009538B0"/>
    <w:rsid w:val="00953AE4"/>
    <w:rsid w:val="00954B0F"/>
    <w:rsid w:val="00954DDA"/>
    <w:rsid w:val="00955F2E"/>
    <w:rsid w:val="00956111"/>
    <w:rsid w:val="00956582"/>
    <w:rsid w:val="0095694B"/>
    <w:rsid w:val="00956D26"/>
    <w:rsid w:val="0095769F"/>
    <w:rsid w:val="00957A08"/>
    <w:rsid w:val="0096038A"/>
    <w:rsid w:val="0096089B"/>
    <w:rsid w:val="00960B3F"/>
    <w:rsid w:val="00961153"/>
    <w:rsid w:val="009612B5"/>
    <w:rsid w:val="00961629"/>
    <w:rsid w:val="00962908"/>
    <w:rsid w:val="00962DE9"/>
    <w:rsid w:val="00963511"/>
    <w:rsid w:val="00963574"/>
    <w:rsid w:val="00963926"/>
    <w:rsid w:val="009649A1"/>
    <w:rsid w:val="00964C64"/>
    <w:rsid w:val="00964C85"/>
    <w:rsid w:val="009650B6"/>
    <w:rsid w:val="0096586C"/>
    <w:rsid w:val="00965980"/>
    <w:rsid w:val="00965BB8"/>
    <w:rsid w:val="00965DED"/>
    <w:rsid w:val="009664A7"/>
    <w:rsid w:val="00966582"/>
    <w:rsid w:val="009667A5"/>
    <w:rsid w:val="00966847"/>
    <w:rsid w:val="009669D1"/>
    <w:rsid w:val="00966A52"/>
    <w:rsid w:val="00966F84"/>
    <w:rsid w:val="00967A98"/>
    <w:rsid w:val="00967E63"/>
    <w:rsid w:val="00967F36"/>
    <w:rsid w:val="00970383"/>
    <w:rsid w:val="00970462"/>
    <w:rsid w:val="0097118F"/>
    <w:rsid w:val="0097123E"/>
    <w:rsid w:val="0097161F"/>
    <w:rsid w:val="00971642"/>
    <w:rsid w:val="00971C6A"/>
    <w:rsid w:val="00971CD5"/>
    <w:rsid w:val="0097237D"/>
    <w:rsid w:val="009725F5"/>
    <w:rsid w:val="009727BE"/>
    <w:rsid w:val="00972802"/>
    <w:rsid w:val="00972E25"/>
    <w:rsid w:val="0097301F"/>
    <w:rsid w:val="00973407"/>
    <w:rsid w:val="009751F4"/>
    <w:rsid w:val="00975981"/>
    <w:rsid w:val="00975E9F"/>
    <w:rsid w:val="00976196"/>
    <w:rsid w:val="009765AE"/>
    <w:rsid w:val="009766C2"/>
    <w:rsid w:val="009766F5"/>
    <w:rsid w:val="00976B25"/>
    <w:rsid w:val="00977965"/>
    <w:rsid w:val="00977A6B"/>
    <w:rsid w:val="00977C47"/>
    <w:rsid w:val="00977CB1"/>
    <w:rsid w:val="0098016D"/>
    <w:rsid w:val="00980331"/>
    <w:rsid w:val="00980384"/>
    <w:rsid w:val="00980455"/>
    <w:rsid w:val="009804FD"/>
    <w:rsid w:val="00980927"/>
    <w:rsid w:val="00981320"/>
    <w:rsid w:val="009813E1"/>
    <w:rsid w:val="00981CD2"/>
    <w:rsid w:val="0098201F"/>
    <w:rsid w:val="00982065"/>
    <w:rsid w:val="009824AD"/>
    <w:rsid w:val="00983327"/>
    <w:rsid w:val="0098397E"/>
    <w:rsid w:val="00983988"/>
    <w:rsid w:val="00984275"/>
    <w:rsid w:val="00984831"/>
    <w:rsid w:val="009853F5"/>
    <w:rsid w:val="00985826"/>
    <w:rsid w:val="009858AF"/>
    <w:rsid w:val="0098649D"/>
    <w:rsid w:val="0098658A"/>
    <w:rsid w:val="00986DBE"/>
    <w:rsid w:val="009873C3"/>
    <w:rsid w:val="009879B9"/>
    <w:rsid w:val="00987DAA"/>
    <w:rsid w:val="00987DFD"/>
    <w:rsid w:val="00990674"/>
    <w:rsid w:val="00990692"/>
    <w:rsid w:val="00990D4B"/>
    <w:rsid w:val="00990ED4"/>
    <w:rsid w:val="009910E9"/>
    <w:rsid w:val="00991D42"/>
    <w:rsid w:val="00991F7D"/>
    <w:rsid w:val="009922B9"/>
    <w:rsid w:val="0099258F"/>
    <w:rsid w:val="00992E32"/>
    <w:rsid w:val="00992F7A"/>
    <w:rsid w:val="00993575"/>
    <w:rsid w:val="00993A80"/>
    <w:rsid w:val="00993DEC"/>
    <w:rsid w:val="009949DA"/>
    <w:rsid w:val="0099511D"/>
    <w:rsid w:val="009953FD"/>
    <w:rsid w:val="009954F2"/>
    <w:rsid w:val="009961D1"/>
    <w:rsid w:val="00996215"/>
    <w:rsid w:val="0099674F"/>
    <w:rsid w:val="00997289"/>
    <w:rsid w:val="0099743D"/>
    <w:rsid w:val="00997457"/>
    <w:rsid w:val="009974B2"/>
    <w:rsid w:val="009975BF"/>
    <w:rsid w:val="00997B52"/>
    <w:rsid w:val="009A01A0"/>
    <w:rsid w:val="009A0204"/>
    <w:rsid w:val="009A075A"/>
    <w:rsid w:val="009A1AC8"/>
    <w:rsid w:val="009A1C7C"/>
    <w:rsid w:val="009A1D16"/>
    <w:rsid w:val="009A20BF"/>
    <w:rsid w:val="009A21C5"/>
    <w:rsid w:val="009A2559"/>
    <w:rsid w:val="009A2942"/>
    <w:rsid w:val="009A3283"/>
    <w:rsid w:val="009A3684"/>
    <w:rsid w:val="009A5133"/>
    <w:rsid w:val="009A5485"/>
    <w:rsid w:val="009A64AD"/>
    <w:rsid w:val="009A6833"/>
    <w:rsid w:val="009A6B64"/>
    <w:rsid w:val="009A6BB0"/>
    <w:rsid w:val="009A6F23"/>
    <w:rsid w:val="009A7720"/>
    <w:rsid w:val="009A786A"/>
    <w:rsid w:val="009A7BCA"/>
    <w:rsid w:val="009B0B51"/>
    <w:rsid w:val="009B0D08"/>
    <w:rsid w:val="009B10C4"/>
    <w:rsid w:val="009B12BC"/>
    <w:rsid w:val="009B1820"/>
    <w:rsid w:val="009B26CA"/>
    <w:rsid w:val="009B2887"/>
    <w:rsid w:val="009B2AE5"/>
    <w:rsid w:val="009B2BBE"/>
    <w:rsid w:val="009B32F1"/>
    <w:rsid w:val="009B3E93"/>
    <w:rsid w:val="009B4D18"/>
    <w:rsid w:val="009B4F1E"/>
    <w:rsid w:val="009B520D"/>
    <w:rsid w:val="009B5594"/>
    <w:rsid w:val="009B5C08"/>
    <w:rsid w:val="009B642E"/>
    <w:rsid w:val="009B6610"/>
    <w:rsid w:val="009B6710"/>
    <w:rsid w:val="009B6D71"/>
    <w:rsid w:val="009B7DED"/>
    <w:rsid w:val="009B93FF"/>
    <w:rsid w:val="009C00CB"/>
    <w:rsid w:val="009C0FC6"/>
    <w:rsid w:val="009C12E6"/>
    <w:rsid w:val="009C1384"/>
    <w:rsid w:val="009C1606"/>
    <w:rsid w:val="009C1860"/>
    <w:rsid w:val="009C202D"/>
    <w:rsid w:val="009C248F"/>
    <w:rsid w:val="009C291A"/>
    <w:rsid w:val="009C2A49"/>
    <w:rsid w:val="009C2CE2"/>
    <w:rsid w:val="009C390A"/>
    <w:rsid w:val="009C3B80"/>
    <w:rsid w:val="009C3C35"/>
    <w:rsid w:val="009C3DC0"/>
    <w:rsid w:val="009C46B1"/>
    <w:rsid w:val="009C479B"/>
    <w:rsid w:val="009C50D9"/>
    <w:rsid w:val="009C5993"/>
    <w:rsid w:val="009C5A6F"/>
    <w:rsid w:val="009C5F08"/>
    <w:rsid w:val="009C610B"/>
    <w:rsid w:val="009C69DE"/>
    <w:rsid w:val="009C75E7"/>
    <w:rsid w:val="009C7612"/>
    <w:rsid w:val="009D02F3"/>
    <w:rsid w:val="009D0438"/>
    <w:rsid w:val="009D0C2B"/>
    <w:rsid w:val="009D0F8F"/>
    <w:rsid w:val="009D13C4"/>
    <w:rsid w:val="009D16E4"/>
    <w:rsid w:val="009D1D35"/>
    <w:rsid w:val="009D214A"/>
    <w:rsid w:val="009D3610"/>
    <w:rsid w:val="009D361F"/>
    <w:rsid w:val="009D3794"/>
    <w:rsid w:val="009D3B02"/>
    <w:rsid w:val="009D3FBC"/>
    <w:rsid w:val="009D42B1"/>
    <w:rsid w:val="009D45C4"/>
    <w:rsid w:val="009D54F5"/>
    <w:rsid w:val="009D5709"/>
    <w:rsid w:val="009D584F"/>
    <w:rsid w:val="009D5B68"/>
    <w:rsid w:val="009D630C"/>
    <w:rsid w:val="009D6A8F"/>
    <w:rsid w:val="009D6B16"/>
    <w:rsid w:val="009D6B3B"/>
    <w:rsid w:val="009D6BAF"/>
    <w:rsid w:val="009D7BDB"/>
    <w:rsid w:val="009D7E05"/>
    <w:rsid w:val="009E0179"/>
    <w:rsid w:val="009E0601"/>
    <w:rsid w:val="009E0CF6"/>
    <w:rsid w:val="009E12C6"/>
    <w:rsid w:val="009E1BAA"/>
    <w:rsid w:val="009E201E"/>
    <w:rsid w:val="009E2310"/>
    <w:rsid w:val="009E2372"/>
    <w:rsid w:val="009E26FB"/>
    <w:rsid w:val="009E2BFA"/>
    <w:rsid w:val="009E2FBC"/>
    <w:rsid w:val="009E31AE"/>
    <w:rsid w:val="009E337D"/>
    <w:rsid w:val="009E3AC9"/>
    <w:rsid w:val="009E4ACD"/>
    <w:rsid w:val="009E4AF9"/>
    <w:rsid w:val="009E4F82"/>
    <w:rsid w:val="009E50B3"/>
    <w:rsid w:val="009E5992"/>
    <w:rsid w:val="009E6105"/>
    <w:rsid w:val="009E664F"/>
    <w:rsid w:val="009E67C3"/>
    <w:rsid w:val="009E6DC5"/>
    <w:rsid w:val="009E73B1"/>
    <w:rsid w:val="009F0F63"/>
    <w:rsid w:val="009F1041"/>
    <w:rsid w:val="009F15F4"/>
    <w:rsid w:val="009F1771"/>
    <w:rsid w:val="009F1D7E"/>
    <w:rsid w:val="009F20DB"/>
    <w:rsid w:val="009F2D07"/>
    <w:rsid w:val="009F3067"/>
    <w:rsid w:val="009F3376"/>
    <w:rsid w:val="009F33F6"/>
    <w:rsid w:val="009F3B14"/>
    <w:rsid w:val="009F445F"/>
    <w:rsid w:val="009F46D1"/>
    <w:rsid w:val="009F4819"/>
    <w:rsid w:val="009F49EE"/>
    <w:rsid w:val="009F5065"/>
    <w:rsid w:val="009F56AF"/>
    <w:rsid w:val="009F5878"/>
    <w:rsid w:val="009F606C"/>
    <w:rsid w:val="009F644E"/>
    <w:rsid w:val="009F66B7"/>
    <w:rsid w:val="009F69D2"/>
    <w:rsid w:val="009F76FE"/>
    <w:rsid w:val="009F788A"/>
    <w:rsid w:val="009F790C"/>
    <w:rsid w:val="009F7F50"/>
    <w:rsid w:val="009F7F63"/>
    <w:rsid w:val="00A00E08"/>
    <w:rsid w:val="00A013CF"/>
    <w:rsid w:val="00A0172D"/>
    <w:rsid w:val="00A01853"/>
    <w:rsid w:val="00A01AD7"/>
    <w:rsid w:val="00A01F6E"/>
    <w:rsid w:val="00A02288"/>
    <w:rsid w:val="00A0228E"/>
    <w:rsid w:val="00A02438"/>
    <w:rsid w:val="00A02686"/>
    <w:rsid w:val="00A03AF7"/>
    <w:rsid w:val="00A03C5B"/>
    <w:rsid w:val="00A0431F"/>
    <w:rsid w:val="00A0453F"/>
    <w:rsid w:val="00A04C2E"/>
    <w:rsid w:val="00A052E7"/>
    <w:rsid w:val="00A05335"/>
    <w:rsid w:val="00A05683"/>
    <w:rsid w:val="00A05973"/>
    <w:rsid w:val="00A05CBE"/>
    <w:rsid w:val="00A05E3E"/>
    <w:rsid w:val="00A066BF"/>
    <w:rsid w:val="00A06DBA"/>
    <w:rsid w:val="00A06E91"/>
    <w:rsid w:val="00A06F07"/>
    <w:rsid w:val="00A07295"/>
    <w:rsid w:val="00A07708"/>
    <w:rsid w:val="00A108F8"/>
    <w:rsid w:val="00A11038"/>
    <w:rsid w:val="00A11059"/>
    <w:rsid w:val="00A11508"/>
    <w:rsid w:val="00A11A47"/>
    <w:rsid w:val="00A1208E"/>
    <w:rsid w:val="00A123D7"/>
    <w:rsid w:val="00A12F81"/>
    <w:rsid w:val="00A1362C"/>
    <w:rsid w:val="00A13BF3"/>
    <w:rsid w:val="00A13C35"/>
    <w:rsid w:val="00A1432F"/>
    <w:rsid w:val="00A14599"/>
    <w:rsid w:val="00A14622"/>
    <w:rsid w:val="00A156CA"/>
    <w:rsid w:val="00A15AC2"/>
    <w:rsid w:val="00A15B81"/>
    <w:rsid w:val="00A16107"/>
    <w:rsid w:val="00A16443"/>
    <w:rsid w:val="00A16772"/>
    <w:rsid w:val="00A16BB1"/>
    <w:rsid w:val="00A171BB"/>
    <w:rsid w:val="00A1760A"/>
    <w:rsid w:val="00A17897"/>
    <w:rsid w:val="00A17DEB"/>
    <w:rsid w:val="00A17F18"/>
    <w:rsid w:val="00A2141E"/>
    <w:rsid w:val="00A21797"/>
    <w:rsid w:val="00A21E0B"/>
    <w:rsid w:val="00A2213D"/>
    <w:rsid w:val="00A2273F"/>
    <w:rsid w:val="00A22D14"/>
    <w:rsid w:val="00A23B1E"/>
    <w:rsid w:val="00A23F64"/>
    <w:rsid w:val="00A24347"/>
    <w:rsid w:val="00A2478A"/>
    <w:rsid w:val="00A24CC5"/>
    <w:rsid w:val="00A24D7B"/>
    <w:rsid w:val="00A24DC9"/>
    <w:rsid w:val="00A252EB"/>
    <w:rsid w:val="00A25534"/>
    <w:rsid w:val="00A27027"/>
    <w:rsid w:val="00A276B8"/>
    <w:rsid w:val="00A30764"/>
    <w:rsid w:val="00A30A41"/>
    <w:rsid w:val="00A30EE1"/>
    <w:rsid w:val="00A315E3"/>
    <w:rsid w:val="00A329EE"/>
    <w:rsid w:val="00A332D4"/>
    <w:rsid w:val="00A3391E"/>
    <w:rsid w:val="00A33996"/>
    <w:rsid w:val="00A34CB6"/>
    <w:rsid w:val="00A3505D"/>
    <w:rsid w:val="00A352D5"/>
    <w:rsid w:val="00A35D9F"/>
    <w:rsid w:val="00A35EC4"/>
    <w:rsid w:val="00A37182"/>
    <w:rsid w:val="00A378A9"/>
    <w:rsid w:val="00A3795B"/>
    <w:rsid w:val="00A37E5A"/>
    <w:rsid w:val="00A403F5"/>
    <w:rsid w:val="00A41045"/>
    <w:rsid w:val="00A420DE"/>
    <w:rsid w:val="00A425CC"/>
    <w:rsid w:val="00A428C9"/>
    <w:rsid w:val="00A42DC1"/>
    <w:rsid w:val="00A43445"/>
    <w:rsid w:val="00A4344E"/>
    <w:rsid w:val="00A43DA2"/>
    <w:rsid w:val="00A441EB"/>
    <w:rsid w:val="00A444B6"/>
    <w:rsid w:val="00A454F8"/>
    <w:rsid w:val="00A4584A"/>
    <w:rsid w:val="00A46322"/>
    <w:rsid w:val="00A464C4"/>
    <w:rsid w:val="00A467B9"/>
    <w:rsid w:val="00A46F29"/>
    <w:rsid w:val="00A473C9"/>
    <w:rsid w:val="00A4750C"/>
    <w:rsid w:val="00A4755B"/>
    <w:rsid w:val="00A50162"/>
    <w:rsid w:val="00A5108B"/>
    <w:rsid w:val="00A51CF7"/>
    <w:rsid w:val="00A51F99"/>
    <w:rsid w:val="00A525F9"/>
    <w:rsid w:val="00A52D50"/>
    <w:rsid w:val="00A52DEE"/>
    <w:rsid w:val="00A52E8A"/>
    <w:rsid w:val="00A52F3C"/>
    <w:rsid w:val="00A53332"/>
    <w:rsid w:val="00A535A4"/>
    <w:rsid w:val="00A5384A"/>
    <w:rsid w:val="00A53D89"/>
    <w:rsid w:val="00A5416B"/>
    <w:rsid w:val="00A541F6"/>
    <w:rsid w:val="00A54501"/>
    <w:rsid w:val="00A54C1E"/>
    <w:rsid w:val="00A54D5F"/>
    <w:rsid w:val="00A550B9"/>
    <w:rsid w:val="00A55533"/>
    <w:rsid w:val="00A5585A"/>
    <w:rsid w:val="00A55A12"/>
    <w:rsid w:val="00A55D53"/>
    <w:rsid w:val="00A56414"/>
    <w:rsid w:val="00A5772C"/>
    <w:rsid w:val="00A57841"/>
    <w:rsid w:val="00A60D39"/>
    <w:rsid w:val="00A60EE8"/>
    <w:rsid w:val="00A61110"/>
    <w:rsid w:val="00A6117D"/>
    <w:rsid w:val="00A616BD"/>
    <w:rsid w:val="00A61769"/>
    <w:rsid w:val="00A620C1"/>
    <w:rsid w:val="00A62B13"/>
    <w:rsid w:val="00A62C84"/>
    <w:rsid w:val="00A62CE8"/>
    <w:rsid w:val="00A62E6A"/>
    <w:rsid w:val="00A6316D"/>
    <w:rsid w:val="00A63579"/>
    <w:rsid w:val="00A6420D"/>
    <w:rsid w:val="00A645A5"/>
    <w:rsid w:val="00A6481F"/>
    <w:rsid w:val="00A65740"/>
    <w:rsid w:val="00A664D7"/>
    <w:rsid w:val="00A66716"/>
    <w:rsid w:val="00A674B1"/>
    <w:rsid w:val="00A67550"/>
    <w:rsid w:val="00A67D44"/>
    <w:rsid w:val="00A7002D"/>
    <w:rsid w:val="00A70A32"/>
    <w:rsid w:val="00A7160F"/>
    <w:rsid w:val="00A72529"/>
    <w:rsid w:val="00A726E9"/>
    <w:rsid w:val="00A7279F"/>
    <w:rsid w:val="00A72A17"/>
    <w:rsid w:val="00A72B1D"/>
    <w:rsid w:val="00A72D83"/>
    <w:rsid w:val="00A73396"/>
    <w:rsid w:val="00A738CE"/>
    <w:rsid w:val="00A73E20"/>
    <w:rsid w:val="00A74986"/>
    <w:rsid w:val="00A74F37"/>
    <w:rsid w:val="00A75238"/>
    <w:rsid w:val="00A75645"/>
    <w:rsid w:val="00A760AB"/>
    <w:rsid w:val="00A7635E"/>
    <w:rsid w:val="00A765C9"/>
    <w:rsid w:val="00A76653"/>
    <w:rsid w:val="00A76C46"/>
    <w:rsid w:val="00A76D92"/>
    <w:rsid w:val="00A770E4"/>
    <w:rsid w:val="00A774A4"/>
    <w:rsid w:val="00A775D4"/>
    <w:rsid w:val="00A806C6"/>
    <w:rsid w:val="00A815C7"/>
    <w:rsid w:val="00A81774"/>
    <w:rsid w:val="00A831C5"/>
    <w:rsid w:val="00A83363"/>
    <w:rsid w:val="00A83A41"/>
    <w:rsid w:val="00A849E6"/>
    <w:rsid w:val="00A84B1E"/>
    <w:rsid w:val="00A854B6"/>
    <w:rsid w:val="00A8590D"/>
    <w:rsid w:val="00A85C8D"/>
    <w:rsid w:val="00A85E1A"/>
    <w:rsid w:val="00A85E5D"/>
    <w:rsid w:val="00A85FFE"/>
    <w:rsid w:val="00A86CFA"/>
    <w:rsid w:val="00A87F10"/>
    <w:rsid w:val="00A87F9E"/>
    <w:rsid w:val="00A87FF4"/>
    <w:rsid w:val="00A90275"/>
    <w:rsid w:val="00A9256A"/>
    <w:rsid w:val="00A932A9"/>
    <w:rsid w:val="00A9331F"/>
    <w:rsid w:val="00A934B1"/>
    <w:rsid w:val="00A93757"/>
    <w:rsid w:val="00A93895"/>
    <w:rsid w:val="00A93957"/>
    <w:rsid w:val="00A93CC2"/>
    <w:rsid w:val="00A93E66"/>
    <w:rsid w:val="00A93EA3"/>
    <w:rsid w:val="00A942CE"/>
    <w:rsid w:val="00A94817"/>
    <w:rsid w:val="00A94833"/>
    <w:rsid w:val="00A95774"/>
    <w:rsid w:val="00A969DA"/>
    <w:rsid w:val="00A96AF3"/>
    <w:rsid w:val="00A96B79"/>
    <w:rsid w:val="00A979B6"/>
    <w:rsid w:val="00A97B02"/>
    <w:rsid w:val="00A97D13"/>
    <w:rsid w:val="00A97EFF"/>
    <w:rsid w:val="00AA09B7"/>
    <w:rsid w:val="00AA10F9"/>
    <w:rsid w:val="00AA1130"/>
    <w:rsid w:val="00AA13D6"/>
    <w:rsid w:val="00AA1660"/>
    <w:rsid w:val="00AA20FF"/>
    <w:rsid w:val="00AA2289"/>
    <w:rsid w:val="00AA22A4"/>
    <w:rsid w:val="00AA237F"/>
    <w:rsid w:val="00AA2E2F"/>
    <w:rsid w:val="00AA313A"/>
    <w:rsid w:val="00AA3387"/>
    <w:rsid w:val="00AA370D"/>
    <w:rsid w:val="00AA3DE6"/>
    <w:rsid w:val="00AA4B4F"/>
    <w:rsid w:val="00AA4CFD"/>
    <w:rsid w:val="00AA52C8"/>
    <w:rsid w:val="00AA54C1"/>
    <w:rsid w:val="00AA54F4"/>
    <w:rsid w:val="00AA6201"/>
    <w:rsid w:val="00AA709D"/>
    <w:rsid w:val="00AA763B"/>
    <w:rsid w:val="00AB0005"/>
    <w:rsid w:val="00AB0352"/>
    <w:rsid w:val="00AB1203"/>
    <w:rsid w:val="00AB1E1A"/>
    <w:rsid w:val="00AB234A"/>
    <w:rsid w:val="00AB24CE"/>
    <w:rsid w:val="00AB273B"/>
    <w:rsid w:val="00AB28E7"/>
    <w:rsid w:val="00AB2E00"/>
    <w:rsid w:val="00AB2E52"/>
    <w:rsid w:val="00AB2EA0"/>
    <w:rsid w:val="00AB381B"/>
    <w:rsid w:val="00AB3ED0"/>
    <w:rsid w:val="00AB4159"/>
    <w:rsid w:val="00AB468B"/>
    <w:rsid w:val="00AB4700"/>
    <w:rsid w:val="00AB56A7"/>
    <w:rsid w:val="00AB59E2"/>
    <w:rsid w:val="00AB5E33"/>
    <w:rsid w:val="00AB623F"/>
    <w:rsid w:val="00AB68B9"/>
    <w:rsid w:val="00AB6B1E"/>
    <w:rsid w:val="00AB6B77"/>
    <w:rsid w:val="00AB6D57"/>
    <w:rsid w:val="00AB7752"/>
    <w:rsid w:val="00AB785B"/>
    <w:rsid w:val="00AB7940"/>
    <w:rsid w:val="00AB7EC2"/>
    <w:rsid w:val="00AC01F2"/>
    <w:rsid w:val="00AC0A1B"/>
    <w:rsid w:val="00AC0CA3"/>
    <w:rsid w:val="00AC0EB7"/>
    <w:rsid w:val="00AC2228"/>
    <w:rsid w:val="00AC2A55"/>
    <w:rsid w:val="00AC2B1C"/>
    <w:rsid w:val="00AC2B9E"/>
    <w:rsid w:val="00AC2CA4"/>
    <w:rsid w:val="00AC301E"/>
    <w:rsid w:val="00AC31D6"/>
    <w:rsid w:val="00AC370D"/>
    <w:rsid w:val="00AC4306"/>
    <w:rsid w:val="00AC5079"/>
    <w:rsid w:val="00AC5B6D"/>
    <w:rsid w:val="00AC5EE0"/>
    <w:rsid w:val="00AC6972"/>
    <w:rsid w:val="00AC6C1B"/>
    <w:rsid w:val="00AC757F"/>
    <w:rsid w:val="00AC76EA"/>
    <w:rsid w:val="00AC7798"/>
    <w:rsid w:val="00AC7C98"/>
    <w:rsid w:val="00AC7EED"/>
    <w:rsid w:val="00AD0BF9"/>
    <w:rsid w:val="00AD0EF4"/>
    <w:rsid w:val="00AD1031"/>
    <w:rsid w:val="00AD111E"/>
    <w:rsid w:val="00AD1494"/>
    <w:rsid w:val="00AD15CE"/>
    <w:rsid w:val="00AD1D04"/>
    <w:rsid w:val="00AD1DED"/>
    <w:rsid w:val="00AD2797"/>
    <w:rsid w:val="00AD28CB"/>
    <w:rsid w:val="00AD3914"/>
    <w:rsid w:val="00AD41DC"/>
    <w:rsid w:val="00AD44BD"/>
    <w:rsid w:val="00AD45B9"/>
    <w:rsid w:val="00AD667A"/>
    <w:rsid w:val="00AD6E58"/>
    <w:rsid w:val="00AD6FC1"/>
    <w:rsid w:val="00AD7848"/>
    <w:rsid w:val="00AD79B6"/>
    <w:rsid w:val="00AD7D01"/>
    <w:rsid w:val="00AE0580"/>
    <w:rsid w:val="00AE0A8C"/>
    <w:rsid w:val="00AE11A8"/>
    <w:rsid w:val="00AE128B"/>
    <w:rsid w:val="00AE20C5"/>
    <w:rsid w:val="00AE2497"/>
    <w:rsid w:val="00AE284F"/>
    <w:rsid w:val="00AE32AD"/>
    <w:rsid w:val="00AE3670"/>
    <w:rsid w:val="00AE387C"/>
    <w:rsid w:val="00AE38F0"/>
    <w:rsid w:val="00AE3EF9"/>
    <w:rsid w:val="00AE4015"/>
    <w:rsid w:val="00AE4DC4"/>
    <w:rsid w:val="00AE4F60"/>
    <w:rsid w:val="00AE5953"/>
    <w:rsid w:val="00AE6903"/>
    <w:rsid w:val="00AE71C6"/>
    <w:rsid w:val="00AE7858"/>
    <w:rsid w:val="00AF02A9"/>
    <w:rsid w:val="00AF03ED"/>
    <w:rsid w:val="00AF0A64"/>
    <w:rsid w:val="00AF0C2D"/>
    <w:rsid w:val="00AF185D"/>
    <w:rsid w:val="00AF1AEE"/>
    <w:rsid w:val="00AF1B06"/>
    <w:rsid w:val="00AF28F8"/>
    <w:rsid w:val="00AF2C19"/>
    <w:rsid w:val="00AF2C60"/>
    <w:rsid w:val="00AF3539"/>
    <w:rsid w:val="00AF393D"/>
    <w:rsid w:val="00AF3CEB"/>
    <w:rsid w:val="00AF446E"/>
    <w:rsid w:val="00AF4549"/>
    <w:rsid w:val="00AF48D3"/>
    <w:rsid w:val="00AF4E9D"/>
    <w:rsid w:val="00AF4FBD"/>
    <w:rsid w:val="00AF513B"/>
    <w:rsid w:val="00AF518B"/>
    <w:rsid w:val="00AF51CE"/>
    <w:rsid w:val="00AF5419"/>
    <w:rsid w:val="00AF56A8"/>
    <w:rsid w:val="00AF572B"/>
    <w:rsid w:val="00AF5A03"/>
    <w:rsid w:val="00AF5CD9"/>
    <w:rsid w:val="00AF6684"/>
    <w:rsid w:val="00AF7D67"/>
    <w:rsid w:val="00B005B7"/>
    <w:rsid w:val="00B0060A"/>
    <w:rsid w:val="00B00623"/>
    <w:rsid w:val="00B008AF"/>
    <w:rsid w:val="00B01440"/>
    <w:rsid w:val="00B015AC"/>
    <w:rsid w:val="00B01B64"/>
    <w:rsid w:val="00B02599"/>
    <w:rsid w:val="00B031D0"/>
    <w:rsid w:val="00B034FA"/>
    <w:rsid w:val="00B03AF2"/>
    <w:rsid w:val="00B03E18"/>
    <w:rsid w:val="00B04121"/>
    <w:rsid w:val="00B0432D"/>
    <w:rsid w:val="00B043E1"/>
    <w:rsid w:val="00B04429"/>
    <w:rsid w:val="00B044B7"/>
    <w:rsid w:val="00B049BB"/>
    <w:rsid w:val="00B04EB6"/>
    <w:rsid w:val="00B0505A"/>
    <w:rsid w:val="00B0551D"/>
    <w:rsid w:val="00B058BB"/>
    <w:rsid w:val="00B05D2D"/>
    <w:rsid w:val="00B05D84"/>
    <w:rsid w:val="00B0650F"/>
    <w:rsid w:val="00B06703"/>
    <w:rsid w:val="00B06FD2"/>
    <w:rsid w:val="00B07280"/>
    <w:rsid w:val="00B07A04"/>
    <w:rsid w:val="00B07CEA"/>
    <w:rsid w:val="00B1028F"/>
    <w:rsid w:val="00B1155A"/>
    <w:rsid w:val="00B11E49"/>
    <w:rsid w:val="00B1233B"/>
    <w:rsid w:val="00B12AB9"/>
    <w:rsid w:val="00B13400"/>
    <w:rsid w:val="00B13473"/>
    <w:rsid w:val="00B136C3"/>
    <w:rsid w:val="00B147F1"/>
    <w:rsid w:val="00B1574A"/>
    <w:rsid w:val="00B15B77"/>
    <w:rsid w:val="00B15EF1"/>
    <w:rsid w:val="00B160FF"/>
    <w:rsid w:val="00B1629B"/>
    <w:rsid w:val="00B16471"/>
    <w:rsid w:val="00B16AFE"/>
    <w:rsid w:val="00B16C09"/>
    <w:rsid w:val="00B16F9F"/>
    <w:rsid w:val="00B17311"/>
    <w:rsid w:val="00B20145"/>
    <w:rsid w:val="00B2054B"/>
    <w:rsid w:val="00B20660"/>
    <w:rsid w:val="00B20CC5"/>
    <w:rsid w:val="00B21645"/>
    <w:rsid w:val="00B21B24"/>
    <w:rsid w:val="00B21BD9"/>
    <w:rsid w:val="00B2243F"/>
    <w:rsid w:val="00B228EA"/>
    <w:rsid w:val="00B22C4A"/>
    <w:rsid w:val="00B2359C"/>
    <w:rsid w:val="00B239C5"/>
    <w:rsid w:val="00B23B06"/>
    <w:rsid w:val="00B24405"/>
    <w:rsid w:val="00B25548"/>
    <w:rsid w:val="00B25908"/>
    <w:rsid w:val="00B25A1F"/>
    <w:rsid w:val="00B2690A"/>
    <w:rsid w:val="00B26B3A"/>
    <w:rsid w:val="00B26F8A"/>
    <w:rsid w:val="00B27446"/>
    <w:rsid w:val="00B3015A"/>
    <w:rsid w:val="00B3068F"/>
    <w:rsid w:val="00B30805"/>
    <w:rsid w:val="00B30DDF"/>
    <w:rsid w:val="00B3179F"/>
    <w:rsid w:val="00B31E40"/>
    <w:rsid w:val="00B324C8"/>
    <w:rsid w:val="00B32745"/>
    <w:rsid w:val="00B329E3"/>
    <w:rsid w:val="00B33A45"/>
    <w:rsid w:val="00B35DB6"/>
    <w:rsid w:val="00B362C2"/>
    <w:rsid w:val="00B36654"/>
    <w:rsid w:val="00B36A35"/>
    <w:rsid w:val="00B37722"/>
    <w:rsid w:val="00B37A54"/>
    <w:rsid w:val="00B4008A"/>
    <w:rsid w:val="00B402A9"/>
    <w:rsid w:val="00B402D8"/>
    <w:rsid w:val="00B403AD"/>
    <w:rsid w:val="00B403B7"/>
    <w:rsid w:val="00B40450"/>
    <w:rsid w:val="00B4068D"/>
    <w:rsid w:val="00B409DD"/>
    <w:rsid w:val="00B40D42"/>
    <w:rsid w:val="00B41F39"/>
    <w:rsid w:val="00B422A4"/>
    <w:rsid w:val="00B42D59"/>
    <w:rsid w:val="00B42DEC"/>
    <w:rsid w:val="00B433EF"/>
    <w:rsid w:val="00B43441"/>
    <w:rsid w:val="00B43D4D"/>
    <w:rsid w:val="00B43DA9"/>
    <w:rsid w:val="00B43F17"/>
    <w:rsid w:val="00B44290"/>
    <w:rsid w:val="00B444C0"/>
    <w:rsid w:val="00B44710"/>
    <w:rsid w:val="00B45A2F"/>
    <w:rsid w:val="00B46084"/>
    <w:rsid w:val="00B46232"/>
    <w:rsid w:val="00B46660"/>
    <w:rsid w:val="00B46E24"/>
    <w:rsid w:val="00B4757F"/>
    <w:rsid w:val="00B477B2"/>
    <w:rsid w:val="00B478D8"/>
    <w:rsid w:val="00B5085B"/>
    <w:rsid w:val="00B518AC"/>
    <w:rsid w:val="00B5210C"/>
    <w:rsid w:val="00B527F0"/>
    <w:rsid w:val="00B52CAF"/>
    <w:rsid w:val="00B53C11"/>
    <w:rsid w:val="00B53EEE"/>
    <w:rsid w:val="00B54622"/>
    <w:rsid w:val="00B54705"/>
    <w:rsid w:val="00B547EB"/>
    <w:rsid w:val="00B54E17"/>
    <w:rsid w:val="00B556A1"/>
    <w:rsid w:val="00B5581C"/>
    <w:rsid w:val="00B55D28"/>
    <w:rsid w:val="00B55DA0"/>
    <w:rsid w:val="00B562D2"/>
    <w:rsid w:val="00B564A6"/>
    <w:rsid w:val="00B5651E"/>
    <w:rsid w:val="00B56D0A"/>
    <w:rsid w:val="00B5739F"/>
    <w:rsid w:val="00B576E1"/>
    <w:rsid w:val="00B57779"/>
    <w:rsid w:val="00B578D1"/>
    <w:rsid w:val="00B60143"/>
    <w:rsid w:val="00B60617"/>
    <w:rsid w:val="00B60AB2"/>
    <w:rsid w:val="00B60FD6"/>
    <w:rsid w:val="00B61038"/>
    <w:rsid w:val="00B6163F"/>
    <w:rsid w:val="00B6172D"/>
    <w:rsid w:val="00B61BA9"/>
    <w:rsid w:val="00B61BD5"/>
    <w:rsid w:val="00B6367C"/>
    <w:rsid w:val="00B636C9"/>
    <w:rsid w:val="00B6397A"/>
    <w:rsid w:val="00B63EF5"/>
    <w:rsid w:val="00B649E1"/>
    <w:rsid w:val="00B64C62"/>
    <w:rsid w:val="00B64F52"/>
    <w:rsid w:val="00B64F85"/>
    <w:rsid w:val="00B6544E"/>
    <w:rsid w:val="00B654F6"/>
    <w:rsid w:val="00B66226"/>
    <w:rsid w:val="00B66437"/>
    <w:rsid w:val="00B67043"/>
    <w:rsid w:val="00B67917"/>
    <w:rsid w:val="00B701B0"/>
    <w:rsid w:val="00B71174"/>
    <w:rsid w:val="00B71F1D"/>
    <w:rsid w:val="00B7208D"/>
    <w:rsid w:val="00B720E3"/>
    <w:rsid w:val="00B72520"/>
    <w:rsid w:val="00B726BF"/>
    <w:rsid w:val="00B72B47"/>
    <w:rsid w:val="00B72EA7"/>
    <w:rsid w:val="00B7312D"/>
    <w:rsid w:val="00B731A2"/>
    <w:rsid w:val="00B7333D"/>
    <w:rsid w:val="00B733D0"/>
    <w:rsid w:val="00B73471"/>
    <w:rsid w:val="00B7358E"/>
    <w:rsid w:val="00B73C94"/>
    <w:rsid w:val="00B7435C"/>
    <w:rsid w:val="00B74652"/>
    <w:rsid w:val="00B74FF4"/>
    <w:rsid w:val="00B75869"/>
    <w:rsid w:val="00B758B7"/>
    <w:rsid w:val="00B76332"/>
    <w:rsid w:val="00B76763"/>
    <w:rsid w:val="00B7676B"/>
    <w:rsid w:val="00B7749E"/>
    <w:rsid w:val="00B776BF"/>
    <w:rsid w:val="00B77751"/>
    <w:rsid w:val="00B80150"/>
    <w:rsid w:val="00B801F5"/>
    <w:rsid w:val="00B8028D"/>
    <w:rsid w:val="00B80AA8"/>
    <w:rsid w:val="00B80F26"/>
    <w:rsid w:val="00B80F70"/>
    <w:rsid w:val="00B8111B"/>
    <w:rsid w:val="00B81274"/>
    <w:rsid w:val="00B81590"/>
    <w:rsid w:val="00B81E13"/>
    <w:rsid w:val="00B81E93"/>
    <w:rsid w:val="00B82835"/>
    <w:rsid w:val="00B82C6A"/>
    <w:rsid w:val="00B83060"/>
    <w:rsid w:val="00B831DB"/>
    <w:rsid w:val="00B83CD4"/>
    <w:rsid w:val="00B84427"/>
    <w:rsid w:val="00B847DE"/>
    <w:rsid w:val="00B84987"/>
    <w:rsid w:val="00B85133"/>
    <w:rsid w:val="00B858FD"/>
    <w:rsid w:val="00B8594C"/>
    <w:rsid w:val="00B85989"/>
    <w:rsid w:val="00B85FFA"/>
    <w:rsid w:val="00B860F2"/>
    <w:rsid w:val="00B87E5A"/>
    <w:rsid w:val="00B87EFD"/>
    <w:rsid w:val="00B90907"/>
    <w:rsid w:val="00B90EFB"/>
    <w:rsid w:val="00B90F8E"/>
    <w:rsid w:val="00B912C7"/>
    <w:rsid w:val="00B91E60"/>
    <w:rsid w:val="00B91FD3"/>
    <w:rsid w:val="00B9233E"/>
    <w:rsid w:val="00B92526"/>
    <w:rsid w:val="00B9265E"/>
    <w:rsid w:val="00B9273E"/>
    <w:rsid w:val="00B927E4"/>
    <w:rsid w:val="00B92C50"/>
    <w:rsid w:val="00B93268"/>
    <w:rsid w:val="00B93D62"/>
    <w:rsid w:val="00B93EA4"/>
    <w:rsid w:val="00B944D1"/>
    <w:rsid w:val="00B94579"/>
    <w:rsid w:val="00B94C18"/>
    <w:rsid w:val="00B95212"/>
    <w:rsid w:val="00B962C7"/>
    <w:rsid w:val="00B96509"/>
    <w:rsid w:val="00B968EB"/>
    <w:rsid w:val="00B97170"/>
    <w:rsid w:val="00B97248"/>
    <w:rsid w:val="00B974C5"/>
    <w:rsid w:val="00B9751C"/>
    <w:rsid w:val="00B97BB8"/>
    <w:rsid w:val="00B97F3D"/>
    <w:rsid w:val="00BA00A9"/>
    <w:rsid w:val="00BA0152"/>
    <w:rsid w:val="00BA06C2"/>
    <w:rsid w:val="00BA0C67"/>
    <w:rsid w:val="00BA0D56"/>
    <w:rsid w:val="00BA0E68"/>
    <w:rsid w:val="00BA13F2"/>
    <w:rsid w:val="00BA2916"/>
    <w:rsid w:val="00BA2A0E"/>
    <w:rsid w:val="00BA2D9F"/>
    <w:rsid w:val="00BA2E1C"/>
    <w:rsid w:val="00BA30A5"/>
    <w:rsid w:val="00BA329D"/>
    <w:rsid w:val="00BA3C3D"/>
    <w:rsid w:val="00BA4251"/>
    <w:rsid w:val="00BA453D"/>
    <w:rsid w:val="00BA469E"/>
    <w:rsid w:val="00BA4931"/>
    <w:rsid w:val="00BA4AF4"/>
    <w:rsid w:val="00BA4F69"/>
    <w:rsid w:val="00BA5074"/>
    <w:rsid w:val="00BA553E"/>
    <w:rsid w:val="00BA5E8C"/>
    <w:rsid w:val="00BA655E"/>
    <w:rsid w:val="00BA775C"/>
    <w:rsid w:val="00BA786A"/>
    <w:rsid w:val="00BB01B3"/>
    <w:rsid w:val="00BB0A42"/>
    <w:rsid w:val="00BB0EA2"/>
    <w:rsid w:val="00BB1120"/>
    <w:rsid w:val="00BB12DB"/>
    <w:rsid w:val="00BB1B4A"/>
    <w:rsid w:val="00BB1D5E"/>
    <w:rsid w:val="00BB234B"/>
    <w:rsid w:val="00BB2780"/>
    <w:rsid w:val="00BB2981"/>
    <w:rsid w:val="00BB2C76"/>
    <w:rsid w:val="00BB30AC"/>
    <w:rsid w:val="00BB3473"/>
    <w:rsid w:val="00BB35FB"/>
    <w:rsid w:val="00BB3B38"/>
    <w:rsid w:val="00BB3EF6"/>
    <w:rsid w:val="00BB4768"/>
    <w:rsid w:val="00BB49FA"/>
    <w:rsid w:val="00BB4BC3"/>
    <w:rsid w:val="00BB50C2"/>
    <w:rsid w:val="00BB5EEB"/>
    <w:rsid w:val="00BB7016"/>
    <w:rsid w:val="00BB7297"/>
    <w:rsid w:val="00BB73DA"/>
    <w:rsid w:val="00BB77AE"/>
    <w:rsid w:val="00BB7A35"/>
    <w:rsid w:val="00BBC729"/>
    <w:rsid w:val="00BC0056"/>
    <w:rsid w:val="00BC037B"/>
    <w:rsid w:val="00BC07C5"/>
    <w:rsid w:val="00BC0914"/>
    <w:rsid w:val="00BC0C8D"/>
    <w:rsid w:val="00BC1002"/>
    <w:rsid w:val="00BC12D4"/>
    <w:rsid w:val="00BC130A"/>
    <w:rsid w:val="00BC148F"/>
    <w:rsid w:val="00BC1C82"/>
    <w:rsid w:val="00BC1FCA"/>
    <w:rsid w:val="00BC23B1"/>
    <w:rsid w:val="00BC25FA"/>
    <w:rsid w:val="00BC309E"/>
    <w:rsid w:val="00BC3422"/>
    <w:rsid w:val="00BC3BD9"/>
    <w:rsid w:val="00BC431D"/>
    <w:rsid w:val="00BC46FD"/>
    <w:rsid w:val="00BC4E42"/>
    <w:rsid w:val="00BC4EDF"/>
    <w:rsid w:val="00BC53B2"/>
    <w:rsid w:val="00BC5BBF"/>
    <w:rsid w:val="00BC61EC"/>
    <w:rsid w:val="00BC6986"/>
    <w:rsid w:val="00BC69F4"/>
    <w:rsid w:val="00BC6EC9"/>
    <w:rsid w:val="00BD0827"/>
    <w:rsid w:val="00BD10D0"/>
    <w:rsid w:val="00BD13E6"/>
    <w:rsid w:val="00BD1472"/>
    <w:rsid w:val="00BD1579"/>
    <w:rsid w:val="00BD16D9"/>
    <w:rsid w:val="00BD20D4"/>
    <w:rsid w:val="00BD2939"/>
    <w:rsid w:val="00BD3117"/>
    <w:rsid w:val="00BD3130"/>
    <w:rsid w:val="00BD3640"/>
    <w:rsid w:val="00BD39D4"/>
    <w:rsid w:val="00BD3DFA"/>
    <w:rsid w:val="00BD424D"/>
    <w:rsid w:val="00BD4C9A"/>
    <w:rsid w:val="00BD4EEC"/>
    <w:rsid w:val="00BD4F55"/>
    <w:rsid w:val="00BD5474"/>
    <w:rsid w:val="00BD568A"/>
    <w:rsid w:val="00BD5A2F"/>
    <w:rsid w:val="00BD5A9F"/>
    <w:rsid w:val="00BD5DC2"/>
    <w:rsid w:val="00BD600A"/>
    <w:rsid w:val="00BD6356"/>
    <w:rsid w:val="00BD63DF"/>
    <w:rsid w:val="00BD6693"/>
    <w:rsid w:val="00BD688F"/>
    <w:rsid w:val="00BD6933"/>
    <w:rsid w:val="00BD6AF9"/>
    <w:rsid w:val="00BD6D5A"/>
    <w:rsid w:val="00BD6E16"/>
    <w:rsid w:val="00BD6EDD"/>
    <w:rsid w:val="00BD7460"/>
    <w:rsid w:val="00BD7BBF"/>
    <w:rsid w:val="00BD7C38"/>
    <w:rsid w:val="00BE06F3"/>
    <w:rsid w:val="00BE070D"/>
    <w:rsid w:val="00BE074B"/>
    <w:rsid w:val="00BE093A"/>
    <w:rsid w:val="00BE1C62"/>
    <w:rsid w:val="00BE1D0A"/>
    <w:rsid w:val="00BE1E62"/>
    <w:rsid w:val="00BE2341"/>
    <w:rsid w:val="00BE2381"/>
    <w:rsid w:val="00BE27B6"/>
    <w:rsid w:val="00BE2AD5"/>
    <w:rsid w:val="00BE2B3D"/>
    <w:rsid w:val="00BE33E8"/>
    <w:rsid w:val="00BE34D2"/>
    <w:rsid w:val="00BE34E0"/>
    <w:rsid w:val="00BE38C9"/>
    <w:rsid w:val="00BE3D9C"/>
    <w:rsid w:val="00BE4D09"/>
    <w:rsid w:val="00BE574F"/>
    <w:rsid w:val="00BE585D"/>
    <w:rsid w:val="00BE5F42"/>
    <w:rsid w:val="00BE63F7"/>
    <w:rsid w:val="00BE6BFA"/>
    <w:rsid w:val="00BE6C9C"/>
    <w:rsid w:val="00BE6F5F"/>
    <w:rsid w:val="00BE727D"/>
    <w:rsid w:val="00BE7812"/>
    <w:rsid w:val="00BE7BED"/>
    <w:rsid w:val="00BF0616"/>
    <w:rsid w:val="00BF0A78"/>
    <w:rsid w:val="00BF0B69"/>
    <w:rsid w:val="00BF0D76"/>
    <w:rsid w:val="00BF10BA"/>
    <w:rsid w:val="00BF13E1"/>
    <w:rsid w:val="00BF15DA"/>
    <w:rsid w:val="00BF1FB1"/>
    <w:rsid w:val="00BF242F"/>
    <w:rsid w:val="00BF2468"/>
    <w:rsid w:val="00BF2946"/>
    <w:rsid w:val="00BF2C78"/>
    <w:rsid w:val="00BF32A3"/>
    <w:rsid w:val="00BF3888"/>
    <w:rsid w:val="00BF4AC6"/>
    <w:rsid w:val="00BF4B0A"/>
    <w:rsid w:val="00BF4BBD"/>
    <w:rsid w:val="00BF5180"/>
    <w:rsid w:val="00BF55BB"/>
    <w:rsid w:val="00BF5A97"/>
    <w:rsid w:val="00BF5B06"/>
    <w:rsid w:val="00BF5D9C"/>
    <w:rsid w:val="00BF5ED1"/>
    <w:rsid w:val="00BF654A"/>
    <w:rsid w:val="00BF6A46"/>
    <w:rsid w:val="00BF6B83"/>
    <w:rsid w:val="00BF6CA3"/>
    <w:rsid w:val="00BF6D00"/>
    <w:rsid w:val="00BF6F69"/>
    <w:rsid w:val="00BF725A"/>
    <w:rsid w:val="00BF765D"/>
    <w:rsid w:val="00BF772C"/>
    <w:rsid w:val="00C00808"/>
    <w:rsid w:val="00C00BAE"/>
    <w:rsid w:val="00C01032"/>
    <w:rsid w:val="00C01BCC"/>
    <w:rsid w:val="00C01E2A"/>
    <w:rsid w:val="00C02053"/>
    <w:rsid w:val="00C0213C"/>
    <w:rsid w:val="00C02B27"/>
    <w:rsid w:val="00C02BC8"/>
    <w:rsid w:val="00C030C1"/>
    <w:rsid w:val="00C0346E"/>
    <w:rsid w:val="00C036F1"/>
    <w:rsid w:val="00C037A9"/>
    <w:rsid w:val="00C0399F"/>
    <w:rsid w:val="00C04E08"/>
    <w:rsid w:val="00C05D73"/>
    <w:rsid w:val="00C05E9C"/>
    <w:rsid w:val="00C05F0C"/>
    <w:rsid w:val="00C06112"/>
    <w:rsid w:val="00C06180"/>
    <w:rsid w:val="00C06232"/>
    <w:rsid w:val="00C0624E"/>
    <w:rsid w:val="00C06CB0"/>
    <w:rsid w:val="00C06EB1"/>
    <w:rsid w:val="00C075C9"/>
    <w:rsid w:val="00C07918"/>
    <w:rsid w:val="00C10824"/>
    <w:rsid w:val="00C10BBF"/>
    <w:rsid w:val="00C10BEC"/>
    <w:rsid w:val="00C1142D"/>
    <w:rsid w:val="00C116FB"/>
    <w:rsid w:val="00C122D1"/>
    <w:rsid w:val="00C12678"/>
    <w:rsid w:val="00C12C6B"/>
    <w:rsid w:val="00C1374A"/>
    <w:rsid w:val="00C13F31"/>
    <w:rsid w:val="00C14092"/>
    <w:rsid w:val="00C1487A"/>
    <w:rsid w:val="00C14C71"/>
    <w:rsid w:val="00C156F3"/>
    <w:rsid w:val="00C157B1"/>
    <w:rsid w:val="00C157B8"/>
    <w:rsid w:val="00C15E93"/>
    <w:rsid w:val="00C15F34"/>
    <w:rsid w:val="00C16237"/>
    <w:rsid w:val="00C1640D"/>
    <w:rsid w:val="00C16F2B"/>
    <w:rsid w:val="00C16FDF"/>
    <w:rsid w:val="00C17B89"/>
    <w:rsid w:val="00C17F5B"/>
    <w:rsid w:val="00C17FCC"/>
    <w:rsid w:val="00C20161"/>
    <w:rsid w:val="00C20B16"/>
    <w:rsid w:val="00C2187A"/>
    <w:rsid w:val="00C21FA2"/>
    <w:rsid w:val="00C22B08"/>
    <w:rsid w:val="00C23042"/>
    <w:rsid w:val="00C23FCA"/>
    <w:rsid w:val="00C248A2"/>
    <w:rsid w:val="00C24AA7"/>
    <w:rsid w:val="00C24EEE"/>
    <w:rsid w:val="00C2571A"/>
    <w:rsid w:val="00C25CBD"/>
    <w:rsid w:val="00C264E3"/>
    <w:rsid w:val="00C26838"/>
    <w:rsid w:val="00C26983"/>
    <w:rsid w:val="00C26A6D"/>
    <w:rsid w:val="00C26C85"/>
    <w:rsid w:val="00C27704"/>
    <w:rsid w:val="00C27968"/>
    <w:rsid w:val="00C27BFD"/>
    <w:rsid w:val="00C27D1D"/>
    <w:rsid w:val="00C303A1"/>
    <w:rsid w:val="00C303DE"/>
    <w:rsid w:val="00C3080D"/>
    <w:rsid w:val="00C3191D"/>
    <w:rsid w:val="00C31A9A"/>
    <w:rsid w:val="00C3227F"/>
    <w:rsid w:val="00C3289D"/>
    <w:rsid w:val="00C33767"/>
    <w:rsid w:val="00C33B03"/>
    <w:rsid w:val="00C34053"/>
    <w:rsid w:val="00C340D4"/>
    <w:rsid w:val="00C344A3"/>
    <w:rsid w:val="00C35984"/>
    <w:rsid w:val="00C35BDA"/>
    <w:rsid w:val="00C35C01"/>
    <w:rsid w:val="00C36B22"/>
    <w:rsid w:val="00C37697"/>
    <w:rsid w:val="00C3773F"/>
    <w:rsid w:val="00C37EB3"/>
    <w:rsid w:val="00C40092"/>
    <w:rsid w:val="00C40B9F"/>
    <w:rsid w:val="00C4172C"/>
    <w:rsid w:val="00C41C0B"/>
    <w:rsid w:val="00C42AF8"/>
    <w:rsid w:val="00C42B33"/>
    <w:rsid w:val="00C432B4"/>
    <w:rsid w:val="00C4351A"/>
    <w:rsid w:val="00C4424E"/>
    <w:rsid w:val="00C445FE"/>
    <w:rsid w:val="00C44C0C"/>
    <w:rsid w:val="00C44D68"/>
    <w:rsid w:val="00C45F0A"/>
    <w:rsid w:val="00C4621D"/>
    <w:rsid w:val="00C46300"/>
    <w:rsid w:val="00C466F8"/>
    <w:rsid w:val="00C46FC4"/>
    <w:rsid w:val="00C474EC"/>
    <w:rsid w:val="00C47ADA"/>
    <w:rsid w:val="00C5042A"/>
    <w:rsid w:val="00C50821"/>
    <w:rsid w:val="00C50AB3"/>
    <w:rsid w:val="00C50D5B"/>
    <w:rsid w:val="00C511CB"/>
    <w:rsid w:val="00C51438"/>
    <w:rsid w:val="00C516F8"/>
    <w:rsid w:val="00C51E51"/>
    <w:rsid w:val="00C52076"/>
    <w:rsid w:val="00C521F9"/>
    <w:rsid w:val="00C5224C"/>
    <w:rsid w:val="00C529D3"/>
    <w:rsid w:val="00C52D6E"/>
    <w:rsid w:val="00C53977"/>
    <w:rsid w:val="00C5448C"/>
    <w:rsid w:val="00C5492E"/>
    <w:rsid w:val="00C5560C"/>
    <w:rsid w:val="00C55A23"/>
    <w:rsid w:val="00C55B55"/>
    <w:rsid w:val="00C55F09"/>
    <w:rsid w:val="00C56651"/>
    <w:rsid w:val="00C56746"/>
    <w:rsid w:val="00C57005"/>
    <w:rsid w:val="00C57205"/>
    <w:rsid w:val="00C573CD"/>
    <w:rsid w:val="00C60336"/>
    <w:rsid w:val="00C610BD"/>
    <w:rsid w:val="00C61331"/>
    <w:rsid w:val="00C613F0"/>
    <w:rsid w:val="00C61464"/>
    <w:rsid w:val="00C615A4"/>
    <w:rsid w:val="00C61B6E"/>
    <w:rsid w:val="00C61F4C"/>
    <w:rsid w:val="00C62573"/>
    <w:rsid w:val="00C629A6"/>
    <w:rsid w:val="00C6303C"/>
    <w:rsid w:val="00C63842"/>
    <w:rsid w:val="00C63B32"/>
    <w:rsid w:val="00C63C70"/>
    <w:rsid w:val="00C63C81"/>
    <w:rsid w:val="00C649B0"/>
    <w:rsid w:val="00C64DC8"/>
    <w:rsid w:val="00C6515B"/>
    <w:rsid w:val="00C6521D"/>
    <w:rsid w:val="00C654AD"/>
    <w:rsid w:val="00C65BB6"/>
    <w:rsid w:val="00C65C38"/>
    <w:rsid w:val="00C65DCA"/>
    <w:rsid w:val="00C6620B"/>
    <w:rsid w:val="00C66AA2"/>
    <w:rsid w:val="00C66E9D"/>
    <w:rsid w:val="00C6763B"/>
    <w:rsid w:val="00C703EA"/>
    <w:rsid w:val="00C711FF"/>
    <w:rsid w:val="00C71202"/>
    <w:rsid w:val="00C718F2"/>
    <w:rsid w:val="00C71E1A"/>
    <w:rsid w:val="00C72DA5"/>
    <w:rsid w:val="00C730D0"/>
    <w:rsid w:val="00C73127"/>
    <w:rsid w:val="00C7349D"/>
    <w:rsid w:val="00C7417D"/>
    <w:rsid w:val="00C74A19"/>
    <w:rsid w:val="00C74A33"/>
    <w:rsid w:val="00C74AF8"/>
    <w:rsid w:val="00C75A90"/>
    <w:rsid w:val="00C75FCF"/>
    <w:rsid w:val="00C77283"/>
    <w:rsid w:val="00C773B2"/>
    <w:rsid w:val="00C7772D"/>
    <w:rsid w:val="00C77E29"/>
    <w:rsid w:val="00C77E7E"/>
    <w:rsid w:val="00C802A4"/>
    <w:rsid w:val="00C80439"/>
    <w:rsid w:val="00C80446"/>
    <w:rsid w:val="00C804BA"/>
    <w:rsid w:val="00C80765"/>
    <w:rsid w:val="00C81187"/>
    <w:rsid w:val="00C8207D"/>
    <w:rsid w:val="00C8229F"/>
    <w:rsid w:val="00C8240B"/>
    <w:rsid w:val="00C82CB1"/>
    <w:rsid w:val="00C8366A"/>
    <w:rsid w:val="00C83DAA"/>
    <w:rsid w:val="00C841C4"/>
    <w:rsid w:val="00C848EB"/>
    <w:rsid w:val="00C84A1E"/>
    <w:rsid w:val="00C84A5E"/>
    <w:rsid w:val="00C84A88"/>
    <w:rsid w:val="00C84E9F"/>
    <w:rsid w:val="00C84F48"/>
    <w:rsid w:val="00C86AAB"/>
    <w:rsid w:val="00C874F3"/>
    <w:rsid w:val="00C879B6"/>
    <w:rsid w:val="00C87C7C"/>
    <w:rsid w:val="00C87EA5"/>
    <w:rsid w:val="00C90936"/>
    <w:rsid w:val="00C90AF6"/>
    <w:rsid w:val="00C914B8"/>
    <w:rsid w:val="00C922A6"/>
    <w:rsid w:val="00C92638"/>
    <w:rsid w:val="00C9375A"/>
    <w:rsid w:val="00C938D3"/>
    <w:rsid w:val="00C938E7"/>
    <w:rsid w:val="00C94C5C"/>
    <w:rsid w:val="00C959DF"/>
    <w:rsid w:val="00C95AF8"/>
    <w:rsid w:val="00C964C1"/>
    <w:rsid w:val="00C96A88"/>
    <w:rsid w:val="00C96C41"/>
    <w:rsid w:val="00C96CAF"/>
    <w:rsid w:val="00C971F3"/>
    <w:rsid w:val="00C975FB"/>
    <w:rsid w:val="00C9785F"/>
    <w:rsid w:val="00C978FB"/>
    <w:rsid w:val="00C979A2"/>
    <w:rsid w:val="00CA0728"/>
    <w:rsid w:val="00CA0866"/>
    <w:rsid w:val="00CA0E49"/>
    <w:rsid w:val="00CA136A"/>
    <w:rsid w:val="00CA1877"/>
    <w:rsid w:val="00CA1D37"/>
    <w:rsid w:val="00CA1FF2"/>
    <w:rsid w:val="00CA2436"/>
    <w:rsid w:val="00CA2497"/>
    <w:rsid w:val="00CA24C4"/>
    <w:rsid w:val="00CA2DCA"/>
    <w:rsid w:val="00CA2DFD"/>
    <w:rsid w:val="00CA2F9B"/>
    <w:rsid w:val="00CA429F"/>
    <w:rsid w:val="00CA44E0"/>
    <w:rsid w:val="00CA4C3E"/>
    <w:rsid w:val="00CA582D"/>
    <w:rsid w:val="00CA5AA6"/>
    <w:rsid w:val="00CA5B46"/>
    <w:rsid w:val="00CA5E7A"/>
    <w:rsid w:val="00CA60DF"/>
    <w:rsid w:val="00CA6625"/>
    <w:rsid w:val="00CA6F54"/>
    <w:rsid w:val="00CA7068"/>
    <w:rsid w:val="00CA7274"/>
    <w:rsid w:val="00CA734A"/>
    <w:rsid w:val="00CA7435"/>
    <w:rsid w:val="00CA75C5"/>
    <w:rsid w:val="00CB093B"/>
    <w:rsid w:val="00CB180F"/>
    <w:rsid w:val="00CB2754"/>
    <w:rsid w:val="00CB2AEC"/>
    <w:rsid w:val="00CB333A"/>
    <w:rsid w:val="00CB3B6E"/>
    <w:rsid w:val="00CB4034"/>
    <w:rsid w:val="00CB4143"/>
    <w:rsid w:val="00CB4441"/>
    <w:rsid w:val="00CB5463"/>
    <w:rsid w:val="00CB5521"/>
    <w:rsid w:val="00CB5C2A"/>
    <w:rsid w:val="00CB6159"/>
    <w:rsid w:val="00CB62B9"/>
    <w:rsid w:val="00CB6615"/>
    <w:rsid w:val="00CB665A"/>
    <w:rsid w:val="00CB6A63"/>
    <w:rsid w:val="00CB6E2F"/>
    <w:rsid w:val="00CB7286"/>
    <w:rsid w:val="00CC0057"/>
    <w:rsid w:val="00CC0A60"/>
    <w:rsid w:val="00CC182F"/>
    <w:rsid w:val="00CC1841"/>
    <w:rsid w:val="00CC1864"/>
    <w:rsid w:val="00CC1A83"/>
    <w:rsid w:val="00CC1D80"/>
    <w:rsid w:val="00CC1E70"/>
    <w:rsid w:val="00CC2310"/>
    <w:rsid w:val="00CC232F"/>
    <w:rsid w:val="00CC238A"/>
    <w:rsid w:val="00CC2701"/>
    <w:rsid w:val="00CC2787"/>
    <w:rsid w:val="00CC3F47"/>
    <w:rsid w:val="00CC3F98"/>
    <w:rsid w:val="00CC4ABD"/>
    <w:rsid w:val="00CC4CD8"/>
    <w:rsid w:val="00CC4D70"/>
    <w:rsid w:val="00CC537E"/>
    <w:rsid w:val="00CC5D45"/>
    <w:rsid w:val="00CC629F"/>
    <w:rsid w:val="00CC63B6"/>
    <w:rsid w:val="00CC641C"/>
    <w:rsid w:val="00CC6509"/>
    <w:rsid w:val="00CC680A"/>
    <w:rsid w:val="00CC6BD7"/>
    <w:rsid w:val="00CC723F"/>
    <w:rsid w:val="00CC7EBF"/>
    <w:rsid w:val="00CC7F1F"/>
    <w:rsid w:val="00CD00DD"/>
    <w:rsid w:val="00CD0108"/>
    <w:rsid w:val="00CD11E7"/>
    <w:rsid w:val="00CD283E"/>
    <w:rsid w:val="00CD2A50"/>
    <w:rsid w:val="00CD33F7"/>
    <w:rsid w:val="00CD458D"/>
    <w:rsid w:val="00CD4769"/>
    <w:rsid w:val="00CD4783"/>
    <w:rsid w:val="00CD48C9"/>
    <w:rsid w:val="00CD48CD"/>
    <w:rsid w:val="00CD4FAE"/>
    <w:rsid w:val="00CD56BF"/>
    <w:rsid w:val="00CD5DD3"/>
    <w:rsid w:val="00CD61D5"/>
    <w:rsid w:val="00CD652C"/>
    <w:rsid w:val="00CD6578"/>
    <w:rsid w:val="00CD66A7"/>
    <w:rsid w:val="00CD6AC0"/>
    <w:rsid w:val="00CD6C2B"/>
    <w:rsid w:val="00CD6F2A"/>
    <w:rsid w:val="00CD73F7"/>
    <w:rsid w:val="00CD7545"/>
    <w:rsid w:val="00CD75D3"/>
    <w:rsid w:val="00CE10D0"/>
    <w:rsid w:val="00CE1446"/>
    <w:rsid w:val="00CE1C36"/>
    <w:rsid w:val="00CE1DF9"/>
    <w:rsid w:val="00CE23AA"/>
    <w:rsid w:val="00CE2A2A"/>
    <w:rsid w:val="00CE3006"/>
    <w:rsid w:val="00CE336E"/>
    <w:rsid w:val="00CE39FF"/>
    <w:rsid w:val="00CE4051"/>
    <w:rsid w:val="00CE44E6"/>
    <w:rsid w:val="00CE5376"/>
    <w:rsid w:val="00CE554F"/>
    <w:rsid w:val="00CE601D"/>
    <w:rsid w:val="00CE69D3"/>
    <w:rsid w:val="00CE6AC6"/>
    <w:rsid w:val="00CE6E91"/>
    <w:rsid w:val="00CE6F72"/>
    <w:rsid w:val="00CE6F94"/>
    <w:rsid w:val="00CE78BC"/>
    <w:rsid w:val="00CE7A6A"/>
    <w:rsid w:val="00CE7DAA"/>
    <w:rsid w:val="00CF0B4C"/>
    <w:rsid w:val="00CF0C66"/>
    <w:rsid w:val="00CF116C"/>
    <w:rsid w:val="00CF1955"/>
    <w:rsid w:val="00CF1D01"/>
    <w:rsid w:val="00CF1E54"/>
    <w:rsid w:val="00CF1FD7"/>
    <w:rsid w:val="00CF21CC"/>
    <w:rsid w:val="00CF230C"/>
    <w:rsid w:val="00CF25DB"/>
    <w:rsid w:val="00CF25E8"/>
    <w:rsid w:val="00CF2688"/>
    <w:rsid w:val="00CF26D5"/>
    <w:rsid w:val="00CF26D9"/>
    <w:rsid w:val="00CF2A0D"/>
    <w:rsid w:val="00CF2BCC"/>
    <w:rsid w:val="00CF4365"/>
    <w:rsid w:val="00CF444E"/>
    <w:rsid w:val="00CF4620"/>
    <w:rsid w:val="00CF48A5"/>
    <w:rsid w:val="00CF4FA7"/>
    <w:rsid w:val="00CF5374"/>
    <w:rsid w:val="00CF5BC9"/>
    <w:rsid w:val="00CF61B2"/>
    <w:rsid w:val="00CF62F0"/>
    <w:rsid w:val="00CF6CA4"/>
    <w:rsid w:val="00CF6D7C"/>
    <w:rsid w:val="00CF75E1"/>
    <w:rsid w:val="00CF786A"/>
    <w:rsid w:val="00CF7A5F"/>
    <w:rsid w:val="00CF7E39"/>
    <w:rsid w:val="00D00F2E"/>
    <w:rsid w:val="00D01E44"/>
    <w:rsid w:val="00D022D2"/>
    <w:rsid w:val="00D022DE"/>
    <w:rsid w:val="00D0258A"/>
    <w:rsid w:val="00D0268A"/>
    <w:rsid w:val="00D02D2A"/>
    <w:rsid w:val="00D02D4D"/>
    <w:rsid w:val="00D03CB4"/>
    <w:rsid w:val="00D04D3A"/>
    <w:rsid w:val="00D05562"/>
    <w:rsid w:val="00D05719"/>
    <w:rsid w:val="00D060F6"/>
    <w:rsid w:val="00D06466"/>
    <w:rsid w:val="00D06827"/>
    <w:rsid w:val="00D076EE"/>
    <w:rsid w:val="00D100A4"/>
    <w:rsid w:val="00D10775"/>
    <w:rsid w:val="00D11752"/>
    <w:rsid w:val="00D11C96"/>
    <w:rsid w:val="00D12B08"/>
    <w:rsid w:val="00D12D4B"/>
    <w:rsid w:val="00D13050"/>
    <w:rsid w:val="00D13064"/>
    <w:rsid w:val="00D13705"/>
    <w:rsid w:val="00D13BCC"/>
    <w:rsid w:val="00D13C76"/>
    <w:rsid w:val="00D13F14"/>
    <w:rsid w:val="00D14405"/>
    <w:rsid w:val="00D14D80"/>
    <w:rsid w:val="00D150D9"/>
    <w:rsid w:val="00D153C7"/>
    <w:rsid w:val="00D154ED"/>
    <w:rsid w:val="00D156D6"/>
    <w:rsid w:val="00D15FF1"/>
    <w:rsid w:val="00D16005"/>
    <w:rsid w:val="00D164D4"/>
    <w:rsid w:val="00D16B68"/>
    <w:rsid w:val="00D16D7A"/>
    <w:rsid w:val="00D170C5"/>
    <w:rsid w:val="00D17550"/>
    <w:rsid w:val="00D17A5F"/>
    <w:rsid w:val="00D20272"/>
    <w:rsid w:val="00D20512"/>
    <w:rsid w:val="00D208FA"/>
    <w:rsid w:val="00D20916"/>
    <w:rsid w:val="00D2099E"/>
    <w:rsid w:val="00D209DF"/>
    <w:rsid w:val="00D20CAE"/>
    <w:rsid w:val="00D20EB0"/>
    <w:rsid w:val="00D20F01"/>
    <w:rsid w:val="00D21751"/>
    <w:rsid w:val="00D22ADD"/>
    <w:rsid w:val="00D22CE1"/>
    <w:rsid w:val="00D22E9F"/>
    <w:rsid w:val="00D230DE"/>
    <w:rsid w:val="00D23430"/>
    <w:rsid w:val="00D235E5"/>
    <w:rsid w:val="00D2447F"/>
    <w:rsid w:val="00D2461B"/>
    <w:rsid w:val="00D248E0"/>
    <w:rsid w:val="00D24EFF"/>
    <w:rsid w:val="00D25283"/>
    <w:rsid w:val="00D255D2"/>
    <w:rsid w:val="00D25B90"/>
    <w:rsid w:val="00D25BCC"/>
    <w:rsid w:val="00D26053"/>
    <w:rsid w:val="00D26684"/>
    <w:rsid w:val="00D267C7"/>
    <w:rsid w:val="00D2688C"/>
    <w:rsid w:val="00D26AA0"/>
    <w:rsid w:val="00D2705F"/>
    <w:rsid w:val="00D306DC"/>
    <w:rsid w:val="00D30D29"/>
    <w:rsid w:val="00D30E32"/>
    <w:rsid w:val="00D30FB0"/>
    <w:rsid w:val="00D311E5"/>
    <w:rsid w:val="00D317A2"/>
    <w:rsid w:val="00D31D7F"/>
    <w:rsid w:val="00D32047"/>
    <w:rsid w:val="00D32858"/>
    <w:rsid w:val="00D32B20"/>
    <w:rsid w:val="00D32F50"/>
    <w:rsid w:val="00D32F62"/>
    <w:rsid w:val="00D32F79"/>
    <w:rsid w:val="00D3348E"/>
    <w:rsid w:val="00D33B9E"/>
    <w:rsid w:val="00D33CB5"/>
    <w:rsid w:val="00D34280"/>
    <w:rsid w:val="00D347B5"/>
    <w:rsid w:val="00D34E2A"/>
    <w:rsid w:val="00D352DD"/>
    <w:rsid w:val="00D3547B"/>
    <w:rsid w:val="00D35578"/>
    <w:rsid w:val="00D35E87"/>
    <w:rsid w:val="00D36157"/>
    <w:rsid w:val="00D3625A"/>
    <w:rsid w:val="00D364DF"/>
    <w:rsid w:val="00D37015"/>
    <w:rsid w:val="00D37974"/>
    <w:rsid w:val="00D37A63"/>
    <w:rsid w:val="00D37DF8"/>
    <w:rsid w:val="00D400EF"/>
    <w:rsid w:val="00D404E2"/>
    <w:rsid w:val="00D40B1D"/>
    <w:rsid w:val="00D40E8C"/>
    <w:rsid w:val="00D41298"/>
    <w:rsid w:val="00D415F6"/>
    <w:rsid w:val="00D4178B"/>
    <w:rsid w:val="00D4189A"/>
    <w:rsid w:val="00D41BD0"/>
    <w:rsid w:val="00D424C2"/>
    <w:rsid w:val="00D42A86"/>
    <w:rsid w:val="00D42B71"/>
    <w:rsid w:val="00D42F1E"/>
    <w:rsid w:val="00D4428B"/>
    <w:rsid w:val="00D44BE3"/>
    <w:rsid w:val="00D44C98"/>
    <w:rsid w:val="00D455D0"/>
    <w:rsid w:val="00D456CD"/>
    <w:rsid w:val="00D458AB"/>
    <w:rsid w:val="00D46385"/>
    <w:rsid w:val="00D463F4"/>
    <w:rsid w:val="00D46C27"/>
    <w:rsid w:val="00D50414"/>
    <w:rsid w:val="00D50435"/>
    <w:rsid w:val="00D50636"/>
    <w:rsid w:val="00D50C70"/>
    <w:rsid w:val="00D51761"/>
    <w:rsid w:val="00D51F60"/>
    <w:rsid w:val="00D51F79"/>
    <w:rsid w:val="00D51FC9"/>
    <w:rsid w:val="00D52366"/>
    <w:rsid w:val="00D529ED"/>
    <w:rsid w:val="00D52B49"/>
    <w:rsid w:val="00D52CBC"/>
    <w:rsid w:val="00D530D8"/>
    <w:rsid w:val="00D53143"/>
    <w:rsid w:val="00D532B1"/>
    <w:rsid w:val="00D54141"/>
    <w:rsid w:val="00D54228"/>
    <w:rsid w:val="00D5432C"/>
    <w:rsid w:val="00D5445E"/>
    <w:rsid w:val="00D555DF"/>
    <w:rsid w:val="00D5594F"/>
    <w:rsid w:val="00D564A4"/>
    <w:rsid w:val="00D56561"/>
    <w:rsid w:val="00D56703"/>
    <w:rsid w:val="00D57771"/>
    <w:rsid w:val="00D57C21"/>
    <w:rsid w:val="00D57E25"/>
    <w:rsid w:val="00D60068"/>
    <w:rsid w:val="00D61650"/>
    <w:rsid w:val="00D62AAB"/>
    <w:rsid w:val="00D62D9F"/>
    <w:rsid w:val="00D631DE"/>
    <w:rsid w:val="00D64037"/>
    <w:rsid w:val="00D642EE"/>
    <w:rsid w:val="00D648A4"/>
    <w:rsid w:val="00D65499"/>
    <w:rsid w:val="00D65A75"/>
    <w:rsid w:val="00D660A2"/>
    <w:rsid w:val="00D66634"/>
    <w:rsid w:val="00D66ED6"/>
    <w:rsid w:val="00D67E72"/>
    <w:rsid w:val="00D70BEC"/>
    <w:rsid w:val="00D70C09"/>
    <w:rsid w:val="00D712C7"/>
    <w:rsid w:val="00D7159C"/>
    <w:rsid w:val="00D7182D"/>
    <w:rsid w:val="00D721C4"/>
    <w:rsid w:val="00D7225D"/>
    <w:rsid w:val="00D72787"/>
    <w:rsid w:val="00D72863"/>
    <w:rsid w:val="00D72935"/>
    <w:rsid w:val="00D73149"/>
    <w:rsid w:val="00D73A4C"/>
    <w:rsid w:val="00D73D1B"/>
    <w:rsid w:val="00D73FB7"/>
    <w:rsid w:val="00D73FE3"/>
    <w:rsid w:val="00D7443A"/>
    <w:rsid w:val="00D74816"/>
    <w:rsid w:val="00D74B7F"/>
    <w:rsid w:val="00D750EC"/>
    <w:rsid w:val="00D75602"/>
    <w:rsid w:val="00D75670"/>
    <w:rsid w:val="00D76417"/>
    <w:rsid w:val="00D76734"/>
    <w:rsid w:val="00D772C1"/>
    <w:rsid w:val="00D80063"/>
    <w:rsid w:val="00D80921"/>
    <w:rsid w:val="00D80B02"/>
    <w:rsid w:val="00D8129A"/>
    <w:rsid w:val="00D81B03"/>
    <w:rsid w:val="00D81BC4"/>
    <w:rsid w:val="00D81D2D"/>
    <w:rsid w:val="00D8227D"/>
    <w:rsid w:val="00D83506"/>
    <w:rsid w:val="00D83760"/>
    <w:rsid w:val="00D83E60"/>
    <w:rsid w:val="00D84487"/>
    <w:rsid w:val="00D8454F"/>
    <w:rsid w:val="00D847EA"/>
    <w:rsid w:val="00D8483C"/>
    <w:rsid w:val="00D84DA9"/>
    <w:rsid w:val="00D84FC1"/>
    <w:rsid w:val="00D8515B"/>
    <w:rsid w:val="00D8559B"/>
    <w:rsid w:val="00D85AA5"/>
    <w:rsid w:val="00D85CED"/>
    <w:rsid w:val="00D86181"/>
    <w:rsid w:val="00D86A81"/>
    <w:rsid w:val="00D86C60"/>
    <w:rsid w:val="00D87443"/>
    <w:rsid w:val="00D87D1C"/>
    <w:rsid w:val="00D9000D"/>
    <w:rsid w:val="00D905DE"/>
    <w:rsid w:val="00D9077B"/>
    <w:rsid w:val="00D912AC"/>
    <w:rsid w:val="00D91F00"/>
    <w:rsid w:val="00D91F49"/>
    <w:rsid w:val="00D92031"/>
    <w:rsid w:val="00D9235A"/>
    <w:rsid w:val="00D943E3"/>
    <w:rsid w:val="00D944FA"/>
    <w:rsid w:val="00D94DDE"/>
    <w:rsid w:val="00D94E98"/>
    <w:rsid w:val="00D95523"/>
    <w:rsid w:val="00D962D0"/>
    <w:rsid w:val="00D9637D"/>
    <w:rsid w:val="00D96600"/>
    <w:rsid w:val="00D96780"/>
    <w:rsid w:val="00D9707F"/>
    <w:rsid w:val="00D971E8"/>
    <w:rsid w:val="00D97609"/>
    <w:rsid w:val="00D97CBE"/>
    <w:rsid w:val="00DA06F7"/>
    <w:rsid w:val="00DA0893"/>
    <w:rsid w:val="00DA1863"/>
    <w:rsid w:val="00DA1BED"/>
    <w:rsid w:val="00DA1E2A"/>
    <w:rsid w:val="00DA213E"/>
    <w:rsid w:val="00DA22E7"/>
    <w:rsid w:val="00DA2DFC"/>
    <w:rsid w:val="00DA2E1D"/>
    <w:rsid w:val="00DA3758"/>
    <w:rsid w:val="00DA38A4"/>
    <w:rsid w:val="00DA49D9"/>
    <w:rsid w:val="00DA4B47"/>
    <w:rsid w:val="00DA4C1A"/>
    <w:rsid w:val="00DA5156"/>
    <w:rsid w:val="00DA567E"/>
    <w:rsid w:val="00DA5689"/>
    <w:rsid w:val="00DA613C"/>
    <w:rsid w:val="00DA6459"/>
    <w:rsid w:val="00DA6765"/>
    <w:rsid w:val="00DA68D5"/>
    <w:rsid w:val="00DA7166"/>
    <w:rsid w:val="00DA72A8"/>
    <w:rsid w:val="00DB11A1"/>
    <w:rsid w:val="00DB1261"/>
    <w:rsid w:val="00DB17C7"/>
    <w:rsid w:val="00DB1868"/>
    <w:rsid w:val="00DB191B"/>
    <w:rsid w:val="00DB1D01"/>
    <w:rsid w:val="00DB1E9B"/>
    <w:rsid w:val="00DB29AE"/>
    <w:rsid w:val="00DB2A8E"/>
    <w:rsid w:val="00DB2AF0"/>
    <w:rsid w:val="00DB3B33"/>
    <w:rsid w:val="00DB44D4"/>
    <w:rsid w:val="00DB458E"/>
    <w:rsid w:val="00DB55C7"/>
    <w:rsid w:val="00DB56CF"/>
    <w:rsid w:val="00DB5B19"/>
    <w:rsid w:val="00DB5CF0"/>
    <w:rsid w:val="00DB5E6C"/>
    <w:rsid w:val="00DB5F78"/>
    <w:rsid w:val="00DB70A3"/>
    <w:rsid w:val="00DB7516"/>
    <w:rsid w:val="00DB75D8"/>
    <w:rsid w:val="00DB77D8"/>
    <w:rsid w:val="00DB7817"/>
    <w:rsid w:val="00DB7ABA"/>
    <w:rsid w:val="00DB7B65"/>
    <w:rsid w:val="00DC0B10"/>
    <w:rsid w:val="00DC0C5C"/>
    <w:rsid w:val="00DC0C62"/>
    <w:rsid w:val="00DC17A8"/>
    <w:rsid w:val="00DC1864"/>
    <w:rsid w:val="00DC1F90"/>
    <w:rsid w:val="00DC2599"/>
    <w:rsid w:val="00DC26EF"/>
    <w:rsid w:val="00DC2B2F"/>
    <w:rsid w:val="00DC3159"/>
    <w:rsid w:val="00DC315F"/>
    <w:rsid w:val="00DC31EA"/>
    <w:rsid w:val="00DC35E2"/>
    <w:rsid w:val="00DC3A57"/>
    <w:rsid w:val="00DC438C"/>
    <w:rsid w:val="00DC4430"/>
    <w:rsid w:val="00DC46E8"/>
    <w:rsid w:val="00DC4798"/>
    <w:rsid w:val="00DC48B1"/>
    <w:rsid w:val="00DC4F68"/>
    <w:rsid w:val="00DC57FB"/>
    <w:rsid w:val="00DC5B03"/>
    <w:rsid w:val="00DC600A"/>
    <w:rsid w:val="00DC62C6"/>
    <w:rsid w:val="00DC6ED2"/>
    <w:rsid w:val="00DC71C3"/>
    <w:rsid w:val="00DC7245"/>
    <w:rsid w:val="00DC7E21"/>
    <w:rsid w:val="00DC7F7C"/>
    <w:rsid w:val="00DD0479"/>
    <w:rsid w:val="00DD0940"/>
    <w:rsid w:val="00DD09B7"/>
    <w:rsid w:val="00DD0A1C"/>
    <w:rsid w:val="00DD1994"/>
    <w:rsid w:val="00DD2139"/>
    <w:rsid w:val="00DD27C0"/>
    <w:rsid w:val="00DD32AD"/>
    <w:rsid w:val="00DD429D"/>
    <w:rsid w:val="00DD4C7C"/>
    <w:rsid w:val="00DD64D9"/>
    <w:rsid w:val="00DD6741"/>
    <w:rsid w:val="00DD73C2"/>
    <w:rsid w:val="00DD74A0"/>
    <w:rsid w:val="00DD7AEB"/>
    <w:rsid w:val="00DD7B4A"/>
    <w:rsid w:val="00DE009A"/>
    <w:rsid w:val="00DE0504"/>
    <w:rsid w:val="00DE071B"/>
    <w:rsid w:val="00DE0989"/>
    <w:rsid w:val="00DE0F85"/>
    <w:rsid w:val="00DE128B"/>
    <w:rsid w:val="00DE13FB"/>
    <w:rsid w:val="00DE1D85"/>
    <w:rsid w:val="00DE271E"/>
    <w:rsid w:val="00DE2933"/>
    <w:rsid w:val="00DE29C6"/>
    <w:rsid w:val="00DE3094"/>
    <w:rsid w:val="00DE3420"/>
    <w:rsid w:val="00DE34DD"/>
    <w:rsid w:val="00DE4508"/>
    <w:rsid w:val="00DE4F2A"/>
    <w:rsid w:val="00DE4FE6"/>
    <w:rsid w:val="00DE535F"/>
    <w:rsid w:val="00DE5452"/>
    <w:rsid w:val="00DE58F2"/>
    <w:rsid w:val="00DE5C3A"/>
    <w:rsid w:val="00DE63A3"/>
    <w:rsid w:val="00DE70AA"/>
    <w:rsid w:val="00DE79BC"/>
    <w:rsid w:val="00DF0CAB"/>
    <w:rsid w:val="00DF0FAB"/>
    <w:rsid w:val="00DF12F4"/>
    <w:rsid w:val="00DF1394"/>
    <w:rsid w:val="00DF189A"/>
    <w:rsid w:val="00DF2144"/>
    <w:rsid w:val="00DF2227"/>
    <w:rsid w:val="00DF2371"/>
    <w:rsid w:val="00DF2440"/>
    <w:rsid w:val="00DF2EEF"/>
    <w:rsid w:val="00DF3EB9"/>
    <w:rsid w:val="00DF3F1F"/>
    <w:rsid w:val="00DF4567"/>
    <w:rsid w:val="00DF4F0A"/>
    <w:rsid w:val="00DF4FF1"/>
    <w:rsid w:val="00DF517F"/>
    <w:rsid w:val="00DF51E4"/>
    <w:rsid w:val="00DF5814"/>
    <w:rsid w:val="00DF5D7C"/>
    <w:rsid w:val="00DF6C84"/>
    <w:rsid w:val="00DF6F80"/>
    <w:rsid w:val="00DF70B6"/>
    <w:rsid w:val="00DF7346"/>
    <w:rsid w:val="00DF735F"/>
    <w:rsid w:val="00DF73A1"/>
    <w:rsid w:val="00DF7676"/>
    <w:rsid w:val="00DF7CA3"/>
    <w:rsid w:val="00E0019A"/>
    <w:rsid w:val="00E00319"/>
    <w:rsid w:val="00E00784"/>
    <w:rsid w:val="00E00A9B"/>
    <w:rsid w:val="00E00C2E"/>
    <w:rsid w:val="00E0144C"/>
    <w:rsid w:val="00E01750"/>
    <w:rsid w:val="00E02467"/>
    <w:rsid w:val="00E02629"/>
    <w:rsid w:val="00E03284"/>
    <w:rsid w:val="00E038A8"/>
    <w:rsid w:val="00E03D3C"/>
    <w:rsid w:val="00E04371"/>
    <w:rsid w:val="00E04420"/>
    <w:rsid w:val="00E04458"/>
    <w:rsid w:val="00E04890"/>
    <w:rsid w:val="00E04AEC"/>
    <w:rsid w:val="00E054D8"/>
    <w:rsid w:val="00E05CE6"/>
    <w:rsid w:val="00E06CD8"/>
    <w:rsid w:val="00E0710E"/>
    <w:rsid w:val="00E0739C"/>
    <w:rsid w:val="00E07932"/>
    <w:rsid w:val="00E079AC"/>
    <w:rsid w:val="00E07EF0"/>
    <w:rsid w:val="00E1047A"/>
    <w:rsid w:val="00E10A43"/>
    <w:rsid w:val="00E11217"/>
    <w:rsid w:val="00E1270A"/>
    <w:rsid w:val="00E1298E"/>
    <w:rsid w:val="00E129F4"/>
    <w:rsid w:val="00E1367A"/>
    <w:rsid w:val="00E1448E"/>
    <w:rsid w:val="00E14504"/>
    <w:rsid w:val="00E1454C"/>
    <w:rsid w:val="00E1456B"/>
    <w:rsid w:val="00E14AC5"/>
    <w:rsid w:val="00E14D97"/>
    <w:rsid w:val="00E15B79"/>
    <w:rsid w:val="00E16125"/>
    <w:rsid w:val="00E163C2"/>
    <w:rsid w:val="00E174F5"/>
    <w:rsid w:val="00E17811"/>
    <w:rsid w:val="00E178BF"/>
    <w:rsid w:val="00E20D72"/>
    <w:rsid w:val="00E21EDE"/>
    <w:rsid w:val="00E22529"/>
    <w:rsid w:val="00E22C58"/>
    <w:rsid w:val="00E22ED7"/>
    <w:rsid w:val="00E23162"/>
    <w:rsid w:val="00E2331D"/>
    <w:rsid w:val="00E23365"/>
    <w:rsid w:val="00E234D6"/>
    <w:rsid w:val="00E23DFA"/>
    <w:rsid w:val="00E2491A"/>
    <w:rsid w:val="00E24D2D"/>
    <w:rsid w:val="00E24D61"/>
    <w:rsid w:val="00E25210"/>
    <w:rsid w:val="00E25A82"/>
    <w:rsid w:val="00E25C1A"/>
    <w:rsid w:val="00E26451"/>
    <w:rsid w:val="00E27655"/>
    <w:rsid w:val="00E30575"/>
    <w:rsid w:val="00E307C0"/>
    <w:rsid w:val="00E30CD1"/>
    <w:rsid w:val="00E313B0"/>
    <w:rsid w:val="00E313FB"/>
    <w:rsid w:val="00E3154B"/>
    <w:rsid w:val="00E317E9"/>
    <w:rsid w:val="00E31A97"/>
    <w:rsid w:val="00E31DAC"/>
    <w:rsid w:val="00E322C4"/>
    <w:rsid w:val="00E3299B"/>
    <w:rsid w:val="00E32A93"/>
    <w:rsid w:val="00E32B50"/>
    <w:rsid w:val="00E32B58"/>
    <w:rsid w:val="00E32E7F"/>
    <w:rsid w:val="00E32F4C"/>
    <w:rsid w:val="00E3313B"/>
    <w:rsid w:val="00E33326"/>
    <w:rsid w:val="00E33AD0"/>
    <w:rsid w:val="00E33D26"/>
    <w:rsid w:val="00E34598"/>
    <w:rsid w:val="00E3469C"/>
    <w:rsid w:val="00E35122"/>
    <w:rsid w:val="00E3622F"/>
    <w:rsid w:val="00E36778"/>
    <w:rsid w:val="00E37257"/>
    <w:rsid w:val="00E37C69"/>
    <w:rsid w:val="00E40152"/>
    <w:rsid w:val="00E40416"/>
    <w:rsid w:val="00E406C4"/>
    <w:rsid w:val="00E4086C"/>
    <w:rsid w:val="00E40FB2"/>
    <w:rsid w:val="00E41146"/>
    <w:rsid w:val="00E41411"/>
    <w:rsid w:val="00E41661"/>
    <w:rsid w:val="00E42424"/>
    <w:rsid w:val="00E42485"/>
    <w:rsid w:val="00E42C41"/>
    <w:rsid w:val="00E42D3F"/>
    <w:rsid w:val="00E42FD2"/>
    <w:rsid w:val="00E43462"/>
    <w:rsid w:val="00E45287"/>
    <w:rsid w:val="00E45309"/>
    <w:rsid w:val="00E45938"/>
    <w:rsid w:val="00E45BCA"/>
    <w:rsid w:val="00E461D4"/>
    <w:rsid w:val="00E462CB"/>
    <w:rsid w:val="00E46331"/>
    <w:rsid w:val="00E46A9E"/>
    <w:rsid w:val="00E46ECF"/>
    <w:rsid w:val="00E4714E"/>
    <w:rsid w:val="00E4728B"/>
    <w:rsid w:val="00E47BFA"/>
    <w:rsid w:val="00E50A7C"/>
    <w:rsid w:val="00E51171"/>
    <w:rsid w:val="00E5125A"/>
    <w:rsid w:val="00E51377"/>
    <w:rsid w:val="00E52A40"/>
    <w:rsid w:val="00E52E24"/>
    <w:rsid w:val="00E53D1F"/>
    <w:rsid w:val="00E53FC3"/>
    <w:rsid w:val="00E54061"/>
    <w:rsid w:val="00E5414D"/>
    <w:rsid w:val="00E5421F"/>
    <w:rsid w:val="00E5442C"/>
    <w:rsid w:val="00E5446B"/>
    <w:rsid w:val="00E5481A"/>
    <w:rsid w:val="00E548C4"/>
    <w:rsid w:val="00E54C0B"/>
    <w:rsid w:val="00E54CA3"/>
    <w:rsid w:val="00E55B24"/>
    <w:rsid w:val="00E55DD5"/>
    <w:rsid w:val="00E56567"/>
    <w:rsid w:val="00E567EA"/>
    <w:rsid w:val="00E56BC4"/>
    <w:rsid w:val="00E56E24"/>
    <w:rsid w:val="00E577B4"/>
    <w:rsid w:val="00E57C75"/>
    <w:rsid w:val="00E57FD2"/>
    <w:rsid w:val="00E60C92"/>
    <w:rsid w:val="00E60E71"/>
    <w:rsid w:val="00E610E5"/>
    <w:rsid w:val="00E614B3"/>
    <w:rsid w:val="00E61749"/>
    <w:rsid w:val="00E618A2"/>
    <w:rsid w:val="00E61A84"/>
    <w:rsid w:val="00E61ADC"/>
    <w:rsid w:val="00E61EA2"/>
    <w:rsid w:val="00E6264A"/>
    <w:rsid w:val="00E62B68"/>
    <w:rsid w:val="00E62DE5"/>
    <w:rsid w:val="00E62F70"/>
    <w:rsid w:val="00E63054"/>
    <w:rsid w:val="00E63D98"/>
    <w:rsid w:val="00E64041"/>
    <w:rsid w:val="00E64E55"/>
    <w:rsid w:val="00E6562E"/>
    <w:rsid w:val="00E65BBE"/>
    <w:rsid w:val="00E65BF5"/>
    <w:rsid w:val="00E664BD"/>
    <w:rsid w:val="00E668C9"/>
    <w:rsid w:val="00E66AEF"/>
    <w:rsid w:val="00E66B7A"/>
    <w:rsid w:val="00E6797A"/>
    <w:rsid w:val="00E67AA2"/>
    <w:rsid w:val="00E67F2A"/>
    <w:rsid w:val="00E67F94"/>
    <w:rsid w:val="00E70343"/>
    <w:rsid w:val="00E707C2"/>
    <w:rsid w:val="00E70B74"/>
    <w:rsid w:val="00E71630"/>
    <w:rsid w:val="00E71835"/>
    <w:rsid w:val="00E71D81"/>
    <w:rsid w:val="00E72154"/>
    <w:rsid w:val="00E72243"/>
    <w:rsid w:val="00E72302"/>
    <w:rsid w:val="00E72923"/>
    <w:rsid w:val="00E72FEF"/>
    <w:rsid w:val="00E738E6"/>
    <w:rsid w:val="00E74A07"/>
    <w:rsid w:val="00E74ACD"/>
    <w:rsid w:val="00E750F2"/>
    <w:rsid w:val="00E7524C"/>
    <w:rsid w:val="00E75867"/>
    <w:rsid w:val="00E76599"/>
    <w:rsid w:val="00E76A02"/>
    <w:rsid w:val="00E76D00"/>
    <w:rsid w:val="00E77794"/>
    <w:rsid w:val="00E778B2"/>
    <w:rsid w:val="00E804EB"/>
    <w:rsid w:val="00E80A9B"/>
    <w:rsid w:val="00E80C32"/>
    <w:rsid w:val="00E81D4C"/>
    <w:rsid w:val="00E82AFE"/>
    <w:rsid w:val="00E83DE7"/>
    <w:rsid w:val="00E84205"/>
    <w:rsid w:val="00E843FC"/>
    <w:rsid w:val="00E84419"/>
    <w:rsid w:val="00E84A35"/>
    <w:rsid w:val="00E8547B"/>
    <w:rsid w:val="00E854F5"/>
    <w:rsid w:val="00E855AD"/>
    <w:rsid w:val="00E85756"/>
    <w:rsid w:val="00E85802"/>
    <w:rsid w:val="00E85C5A"/>
    <w:rsid w:val="00E86113"/>
    <w:rsid w:val="00E8673F"/>
    <w:rsid w:val="00E86B7E"/>
    <w:rsid w:val="00E870BF"/>
    <w:rsid w:val="00E874BB"/>
    <w:rsid w:val="00E878C4"/>
    <w:rsid w:val="00E87A12"/>
    <w:rsid w:val="00E87A46"/>
    <w:rsid w:val="00E87FDE"/>
    <w:rsid w:val="00E90487"/>
    <w:rsid w:val="00E91115"/>
    <w:rsid w:val="00E9173D"/>
    <w:rsid w:val="00E918A1"/>
    <w:rsid w:val="00E9221F"/>
    <w:rsid w:val="00E924FD"/>
    <w:rsid w:val="00E9277C"/>
    <w:rsid w:val="00E92DC0"/>
    <w:rsid w:val="00E92F9B"/>
    <w:rsid w:val="00E93DB4"/>
    <w:rsid w:val="00E940F1"/>
    <w:rsid w:val="00E944A4"/>
    <w:rsid w:val="00E94640"/>
    <w:rsid w:val="00E95293"/>
    <w:rsid w:val="00E95D1A"/>
    <w:rsid w:val="00E960CA"/>
    <w:rsid w:val="00E9716C"/>
    <w:rsid w:val="00E971E5"/>
    <w:rsid w:val="00E975BB"/>
    <w:rsid w:val="00E97636"/>
    <w:rsid w:val="00E97665"/>
    <w:rsid w:val="00E97930"/>
    <w:rsid w:val="00E979DD"/>
    <w:rsid w:val="00E97A51"/>
    <w:rsid w:val="00E97BBD"/>
    <w:rsid w:val="00E97D81"/>
    <w:rsid w:val="00E97EFA"/>
    <w:rsid w:val="00EA077C"/>
    <w:rsid w:val="00EA07D0"/>
    <w:rsid w:val="00EA0CB4"/>
    <w:rsid w:val="00EA1352"/>
    <w:rsid w:val="00EA162D"/>
    <w:rsid w:val="00EA1F78"/>
    <w:rsid w:val="00EA225D"/>
    <w:rsid w:val="00EA24EF"/>
    <w:rsid w:val="00EA252C"/>
    <w:rsid w:val="00EA2651"/>
    <w:rsid w:val="00EA2B15"/>
    <w:rsid w:val="00EA2D81"/>
    <w:rsid w:val="00EA3AC4"/>
    <w:rsid w:val="00EA3D98"/>
    <w:rsid w:val="00EA4132"/>
    <w:rsid w:val="00EA46D9"/>
    <w:rsid w:val="00EA48B3"/>
    <w:rsid w:val="00EA4C46"/>
    <w:rsid w:val="00EA4EE3"/>
    <w:rsid w:val="00EA4F53"/>
    <w:rsid w:val="00EA54BB"/>
    <w:rsid w:val="00EA5F10"/>
    <w:rsid w:val="00EA611B"/>
    <w:rsid w:val="00EA6126"/>
    <w:rsid w:val="00EA6283"/>
    <w:rsid w:val="00EA6966"/>
    <w:rsid w:val="00EA7E6E"/>
    <w:rsid w:val="00EB033F"/>
    <w:rsid w:val="00EB0ACF"/>
    <w:rsid w:val="00EB0DBB"/>
    <w:rsid w:val="00EB1270"/>
    <w:rsid w:val="00EB2727"/>
    <w:rsid w:val="00EB2BA9"/>
    <w:rsid w:val="00EB3245"/>
    <w:rsid w:val="00EB42E3"/>
    <w:rsid w:val="00EB444B"/>
    <w:rsid w:val="00EB4CA2"/>
    <w:rsid w:val="00EB5116"/>
    <w:rsid w:val="00EB56AF"/>
    <w:rsid w:val="00EB5857"/>
    <w:rsid w:val="00EB662C"/>
    <w:rsid w:val="00EB66C5"/>
    <w:rsid w:val="00EB6C24"/>
    <w:rsid w:val="00EB70AB"/>
    <w:rsid w:val="00EB717E"/>
    <w:rsid w:val="00EB7361"/>
    <w:rsid w:val="00EB75BA"/>
    <w:rsid w:val="00EB75E7"/>
    <w:rsid w:val="00EB76FB"/>
    <w:rsid w:val="00EB779A"/>
    <w:rsid w:val="00EB7E70"/>
    <w:rsid w:val="00EB7EC4"/>
    <w:rsid w:val="00EC0D83"/>
    <w:rsid w:val="00EC1263"/>
    <w:rsid w:val="00EC12E5"/>
    <w:rsid w:val="00EC1949"/>
    <w:rsid w:val="00EC1D17"/>
    <w:rsid w:val="00EC36AD"/>
    <w:rsid w:val="00EC3D1F"/>
    <w:rsid w:val="00EC400B"/>
    <w:rsid w:val="00EC4238"/>
    <w:rsid w:val="00EC426F"/>
    <w:rsid w:val="00EC4D5E"/>
    <w:rsid w:val="00EC4EA0"/>
    <w:rsid w:val="00EC555F"/>
    <w:rsid w:val="00EC56B5"/>
    <w:rsid w:val="00EC5FA4"/>
    <w:rsid w:val="00EC61F1"/>
    <w:rsid w:val="00EC6337"/>
    <w:rsid w:val="00EC6B63"/>
    <w:rsid w:val="00EC7388"/>
    <w:rsid w:val="00EC770D"/>
    <w:rsid w:val="00EC77B6"/>
    <w:rsid w:val="00ED0072"/>
    <w:rsid w:val="00ED0209"/>
    <w:rsid w:val="00ED066C"/>
    <w:rsid w:val="00ED0733"/>
    <w:rsid w:val="00ED0FA0"/>
    <w:rsid w:val="00ED122E"/>
    <w:rsid w:val="00ED14C4"/>
    <w:rsid w:val="00ED1671"/>
    <w:rsid w:val="00ED19D6"/>
    <w:rsid w:val="00ED22B7"/>
    <w:rsid w:val="00ED284A"/>
    <w:rsid w:val="00ED2AB5"/>
    <w:rsid w:val="00ED3277"/>
    <w:rsid w:val="00ED4A6A"/>
    <w:rsid w:val="00ED5A16"/>
    <w:rsid w:val="00ED6A12"/>
    <w:rsid w:val="00ED7704"/>
    <w:rsid w:val="00ED791E"/>
    <w:rsid w:val="00ED7F97"/>
    <w:rsid w:val="00EE0247"/>
    <w:rsid w:val="00EE0FCD"/>
    <w:rsid w:val="00EE122B"/>
    <w:rsid w:val="00EE13D6"/>
    <w:rsid w:val="00EE21D5"/>
    <w:rsid w:val="00EE2A2A"/>
    <w:rsid w:val="00EE2ABA"/>
    <w:rsid w:val="00EE3664"/>
    <w:rsid w:val="00EE3926"/>
    <w:rsid w:val="00EE3D28"/>
    <w:rsid w:val="00EE45A3"/>
    <w:rsid w:val="00EE494A"/>
    <w:rsid w:val="00EE4D13"/>
    <w:rsid w:val="00EE4E86"/>
    <w:rsid w:val="00EE4F48"/>
    <w:rsid w:val="00EE529E"/>
    <w:rsid w:val="00EE5B44"/>
    <w:rsid w:val="00EE5C02"/>
    <w:rsid w:val="00EE6481"/>
    <w:rsid w:val="00EE6579"/>
    <w:rsid w:val="00EE65B1"/>
    <w:rsid w:val="00EE7F23"/>
    <w:rsid w:val="00EF062B"/>
    <w:rsid w:val="00EF0780"/>
    <w:rsid w:val="00EF0DAD"/>
    <w:rsid w:val="00EF17DB"/>
    <w:rsid w:val="00EF20D8"/>
    <w:rsid w:val="00EF232B"/>
    <w:rsid w:val="00EF267F"/>
    <w:rsid w:val="00EF2C22"/>
    <w:rsid w:val="00EF2CB7"/>
    <w:rsid w:val="00EF3168"/>
    <w:rsid w:val="00EF3374"/>
    <w:rsid w:val="00EF3400"/>
    <w:rsid w:val="00EF3737"/>
    <w:rsid w:val="00EF444C"/>
    <w:rsid w:val="00EF48A5"/>
    <w:rsid w:val="00EF57D3"/>
    <w:rsid w:val="00EF5824"/>
    <w:rsid w:val="00EF59C4"/>
    <w:rsid w:val="00EF5B76"/>
    <w:rsid w:val="00EF6718"/>
    <w:rsid w:val="00EF7FD8"/>
    <w:rsid w:val="00F00177"/>
    <w:rsid w:val="00F009CD"/>
    <w:rsid w:val="00F00CED"/>
    <w:rsid w:val="00F00F0B"/>
    <w:rsid w:val="00F011C6"/>
    <w:rsid w:val="00F013AC"/>
    <w:rsid w:val="00F01969"/>
    <w:rsid w:val="00F01BDE"/>
    <w:rsid w:val="00F020E0"/>
    <w:rsid w:val="00F031E1"/>
    <w:rsid w:val="00F03C83"/>
    <w:rsid w:val="00F03CE9"/>
    <w:rsid w:val="00F03CEA"/>
    <w:rsid w:val="00F0434F"/>
    <w:rsid w:val="00F04708"/>
    <w:rsid w:val="00F04800"/>
    <w:rsid w:val="00F04A2D"/>
    <w:rsid w:val="00F04B37"/>
    <w:rsid w:val="00F04F62"/>
    <w:rsid w:val="00F05239"/>
    <w:rsid w:val="00F05BF0"/>
    <w:rsid w:val="00F071EF"/>
    <w:rsid w:val="00F0721D"/>
    <w:rsid w:val="00F07454"/>
    <w:rsid w:val="00F07563"/>
    <w:rsid w:val="00F07597"/>
    <w:rsid w:val="00F07700"/>
    <w:rsid w:val="00F07C6A"/>
    <w:rsid w:val="00F10132"/>
    <w:rsid w:val="00F10C86"/>
    <w:rsid w:val="00F11F09"/>
    <w:rsid w:val="00F11FCF"/>
    <w:rsid w:val="00F1328B"/>
    <w:rsid w:val="00F13B40"/>
    <w:rsid w:val="00F141D0"/>
    <w:rsid w:val="00F1494C"/>
    <w:rsid w:val="00F14BB1"/>
    <w:rsid w:val="00F1604C"/>
    <w:rsid w:val="00F167EB"/>
    <w:rsid w:val="00F16ADD"/>
    <w:rsid w:val="00F16EB0"/>
    <w:rsid w:val="00F17EBF"/>
    <w:rsid w:val="00F17EED"/>
    <w:rsid w:val="00F20278"/>
    <w:rsid w:val="00F202C0"/>
    <w:rsid w:val="00F20360"/>
    <w:rsid w:val="00F20835"/>
    <w:rsid w:val="00F20C6C"/>
    <w:rsid w:val="00F21980"/>
    <w:rsid w:val="00F2246D"/>
    <w:rsid w:val="00F224D7"/>
    <w:rsid w:val="00F22BC3"/>
    <w:rsid w:val="00F22EFF"/>
    <w:rsid w:val="00F23302"/>
    <w:rsid w:val="00F24189"/>
    <w:rsid w:val="00F24B38"/>
    <w:rsid w:val="00F24CA2"/>
    <w:rsid w:val="00F25918"/>
    <w:rsid w:val="00F25DBE"/>
    <w:rsid w:val="00F2652F"/>
    <w:rsid w:val="00F26744"/>
    <w:rsid w:val="00F2683E"/>
    <w:rsid w:val="00F26940"/>
    <w:rsid w:val="00F26961"/>
    <w:rsid w:val="00F26A22"/>
    <w:rsid w:val="00F273FE"/>
    <w:rsid w:val="00F2767B"/>
    <w:rsid w:val="00F27937"/>
    <w:rsid w:val="00F305B8"/>
    <w:rsid w:val="00F307DA"/>
    <w:rsid w:val="00F309F9"/>
    <w:rsid w:val="00F31B40"/>
    <w:rsid w:val="00F31BB7"/>
    <w:rsid w:val="00F32361"/>
    <w:rsid w:val="00F329BF"/>
    <w:rsid w:val="00F32C3B"/>
    <w:rsid w:val="00F32DCF"/>
    <w:rsid w:val="00F32FA4"/>
    <w:rsid w:val="00F33126"/>
    <w:rsid w:val="00F33410"/>
    <w:rsid w:val="00F33A29"/>
    <w:rsid w:val="00F3432F"/>
    <w:rsid w:val="00F34587"/>
    <w:rsid w:val="00F358FB"/>
    <w:rsid w:val="00F360D6"/>
    <w:rsid w:val="00F36546"/>
    <w:rsid w:val="00F36586"/>
    <w:rsid w:val="00F36FC8"/>
    <w:rsid w:val="00F37116"/>
    <w:rsid w:val="00F37B98"/>
    <w:rsid w:val="00F4032F"/>
    <w:rsid w:val="00F4033D"/>
    <w:rsid w:val="00F403BC"/>
    <w:rsid w:val="00F404B8"/>
    <w:rsid w:val="00F40E20"/>
    <w:rsid w:val="00F40F6B"/>
    <w:rsid w:val="00F421C0"/>
    <w:rsid w:val="00F434F8"/>
    <w:rsid w:val="00F43BC0"/>
    <w:rsid w:val="00F43D55"/>
    <w:rsid w:val="00F4412F"/>
    <w:rsid w:val="00F4434F"/>
    <w:rsid w:val="00F44C8A"/>
    <w:rsid w:val="00F44FAF"/>
    <w:rsid w:val="00F45266"/>
    <w:rsid w:val="00F45322"/>
    <w:rsid w:val="00F45A62"/>
    <w:rsid w:val="00F45CE1"/>
    <w:rsid w:val="00F45FDB"/>
    <w:rsid w:val="00F4695C"/>
    <w:rsid w:val="00F46C1C"/>
    <w:rsid w:val="00F46E6D"/>
    <w:rsid w:val="00F47186"/>
    <w:rsid w:val="00F473E8"/>
    <w:rsid w:val="00F474A9"/>
    <w:rsid w:val="00F47E6B"/>
    <w:rsid w:val="00F51074"/>
    <w:rsid w:val="00F51AC6"/>
    <w:rsid w:val="00F530C7"/>
    <w:rsid w:val="00F53CDE"/>
    <w:rsid w:val="00F5425F"/>
    <w:rsid w:val="00F56274"/>
    <w:rsid w:val="00F563DB"/>
    <w:rsid w:val="00F56557"/>
    <w:rsid w:val="00F576FA"/>
    <w:rsid w:val="00F57DD5"/>
    <w:rsid w:val="00F6038B"/>
    <w:rsid w:val="00F60B5F"/>
    <w:rsid w:val="00F60DFE"/>
    <w:rsid w:val="00F612CA"/>
    <w:rsid w:val="00F61869"/>
    <w:rsid w:val="00F628EF"/>
    <w:rsid w:val="00F63041"/>
    <w:rsid w:val="00F638CD"/>
    <w:rsid w:val="00F6425F"/>
    <w:rsid w:val="00F64D44"/>
    <w:rsid w:val="00F64F2F"/>
    <w:rsid w:val="00F65040"/>
    <w:rsid w:val="00F65A42"/>
    <w:rsid w:val="00F65C30"/>
    <w:rsid w:val="00F664AC"/>
    <w:rsid w:val="00F66D6A"/>
    <w:rsid w:val="00F67FAA"/>
    <w:rsid w:val="00F709A8"/>
    <w:rsid w:val="00F70C9A"/>
    <w:rsid w:val="00F70E7A"/>
    <w:rsid w:val="00F71D38"/>
    <w:rsid w:val="00F722B6"/>
    <w:rsid w:val="00F7283F"/>
    <w:rsid w:val="00F72C0E"/>
    <w:rsid w:val="00F7303D"/>
    <w:rsid w:val="00F7442C"/>
    <w:rsid w:val="00F74C83"/>
    <w:rsid w:val="00F75105"/>
    <w:rsid w:val="00F75581"/>
    <w:rsid w:val="00F75E93"/>
    <w:rsid w:val="00F767B8"/>
    <w:rsid w:val="00F76A7E"/>
    <w:rsid w:val="00F76D85"/>
    <w:rsid w:val="00F771F1"/>
    <w:rsid w:val="00F7772C"/>
    <w:rsid w:val="00F77ADB"/>
    <w:rsid w:val="00F77ED5"/>
    <w:rsid w:val="00F80037"/>
    <w:rsid w:val="00F80343"/>
    <w:rsid w:val="00F80C31"/>
    <w:rsid w:val="00F80EF7"/>
    <w:rsid w:val="00F814FD"/>
    <w:rsid w:val="00F815BC"/>
    <w:rsid w:val="00F81C10"/>
    <w:rsid w:val="00F8310D"/>
    <w:rsid w:val="00F834FD"/>
    <w:rsid w:val="00F8424C"/>
    <w:rsid w:val="00F86065"/>
    <w:rsid w:val="00F864DE"/>
    <w:rsid w:val="00F86855"/>
    <w:rsid w:val="00F86C09"/>
    <w:rsid w:val="00F86C83"/>
    <w:rsid w:val="00F87D33"/>
    <w:rsid w:val="00F90865"/>
    <w:rsid w:val="00F90CE2"/>
    <w:rsid w:val="00F90EA4"/>
    <w:rsid w:val="00F90F91"/>
    <w:rsid w:val="00F913CB"/>
    <w:rsid w:val="00F916FA"/>
    <w:rsid w:val="00F91829"/>
    <w:rsid w:val="00F9192C"/>
    <w:rsid w:val="00F91F86"/>
    <w:rsid w:val="00F92548"/>
    <w:rsid w:val="00F92588"/>
    <w:rsid w:val="00F92656"/>
    <w:rsid w:val="00F93449"/>
    <w:rsid w:val="00F93904"/>
    <w:rsid w:val="00F93983"/>
    <w:rsid w:val="00F93A1B"/>
    <w:rsid w:val="00F94966"/>
    <w:rsid w:val="00F9547F"/>
    <w:rsid w:val="00F957A0"/>
    <w:rsid w:val="00F95996"/>
    <w:rsid w:val="00F96076"/>
    <w:rsid w:val="00F96255"/>
    <w:rsid w:val="00F96581"/>
    <w:rsid w:val="00F966EC"/>
    <w:rsid w:val="00F96901"/>
    <w:rsid w:val="00F96965"/>
    <w:rsid w:val="00F96D01"/>
    <w:rsid w:val="00F96DFE"/>
    <w:rsid w:val="00F97210"/>
    <w:rsid w:val="00F97840"/>
    <w:rsid w:val="00F979CF"/>
    <w:rsid w:val="00F97B39"/>
    <w:rsid w:val="00FA0228"/>
    <w:rsid w:val="00FA0CF3"/>
    <w:rsid w:val="00FA1C2D"/>
    <w:rsid w:val="00FA1E16"/>
    <w:rsid w:val="00FA1FB0"/>
    <w:rsid w:val="00FA2C60"/>
    <w:rsid w:val="00FA32F7"/>
    <w:rsid w:val="00FA35D7"/>
    <w:rsid w:val="00FA37B9"/>
    <w:rsid w:val="00FA3801"/>
    <w:rsid w:val="00FA435A"/>
    <w:rsid w:val="00FA4A44"/>
    <w:rsid w:val="00FA4FBA"/>
    <w:rsid w:val="00FA5166"/>
    <w:rsid w:val="00FA568B"/>
    <w:rsid w:val="00FA5DC0"/>
    <w:rsid w:val="00FA66F4"/>
    <w:rsid w:val="00FA6CBC"/>
    <w:rsid w:val="00FA6EC4"/>
    <w:rsid w:val="00FA7780"/>
    <w:rsid w:val="00FB0BF7"/>
    <w:rsid w:val="00FB0F38"/>
    <w:rsid w:val="00FB1474"/>
    <w:rsid w:val="00FB18B3"/>
    <w:rsid w:val="00FB241E"/>
    <w:rsid w:val="00FB259C"/>
    <w:rsid w:val="00FB28FC"/>
    <w:rsid w:val="00FB29A0"/>
    <w:rsid w:val="00FB29F2"/>
    <w:rsid w:val="00FB2D14"/>
    <w:rsid w:val="00FB2E07"/>
    <w:rsid w:val="00FB327F"/>
    <w:rsid w:val="00FB32F2"/>
    <w:rsid w:val="00FB3362"/>
    <w:rsid w:val="00FB36F2"/>
    <w:rsid w:val="00FB3988"/>
    <w:rsid w:val="00FB3FB5"/>
    <w:rsid w:val="00FB4365"/>
    <w:rsid w:val="00FB48D4"/>
    <w:rsid w:val="00FB4A25"/>
    <w:rsid w:val="00FB4D09"/>
    <w:rsid w:val="00FB5249"/>
    <w:rsid w:val="00FB52FB"/>
    <w:rsid w:val="00FB5E30"/>
    <w:rsid w:val="00FB5EF9"/>
    <w:rsid w:val="00FB6CBB"/>
    <w:rsid w:val="00FB6CCA"/>
    <w:rsid w:val="00FB792F"/>
    <w:rsid w:val="00FB79EE"/>
    <w:rsid w:val="00FB7D70"/>
    <w:rsid w:val="00FC004B"/>
    <w:rsid w:val="00FC03B8"/>
    <w:rsid w:val="00FC05A2"/>
    <w:rsid w:val="00FC0B03"/>
    <w:rsid w:val="00FC0ECC"/>
    <w:rsid w:val="00FC1127"/>
    <w:rsid w:val="00FC1260"/>
    <w:rsid w:val="00FC141E"/>
    <w:rsid w:val="00FC1FF2"/>
    <w:rsid w:val="00FC2506"/>
    <w:rsid w:val="00FC29CB"/>
    <w:rsid w:val="00FC2A71"/>
    <w:rsid w:val="00FC2C51"/>
    <w:rsid w:val="00FC317E"/>
    <w:rsid w:val="00FC340C"/>
    <w:rsid w:val="00FC3656"/>
    <w:rsid w:val="00FC36FC"/>
    <w:rsid w:val="00FC3827"/>
    <w:rsid w:val="00FC3C26"/>
    <w:rsid w:val="00FC3D7A"/>
    <w:rsid w:val="00FC41AA"/>
    <w:rsid w:val="00FC4637"/>
    <w:rsid w:val="00FC4FA2"/>
    <w:rsid w:val="00FC6D7C"/>
    <w:rsid w:val="00FC6ED0"/>
    <w:rsid w:val="00FC7557"/>
    <w:rsid w:val="00FC7757"/>
    <w:rsid w:val="00FC7929"/>
    <w:rsid w:val="00FC79B1"/>
    <w:rsid w:val="00FD08BE"/>
    <w:rsid w:val="00FD09A5"/>
    <w:rsid w:val="00FD10E0"/>
    <w:rsid w:val="00FD1B28"/>
    <w:rsid w:val="00FD2917"/>
    <w:rsid w:val="00FD2B1F"/>
    <w:rsid w:val="00FD31CF"/>
    <w:rsid w:val="00FD3F84"/>
    <w:rsid w:val="00FD422D"/>
    <w:rsid w:val="00FD5C4F"/>
    <w:rsid w:val="00FD640F"/>
    <w:rsid w:val="00FD6657"/>
    <w:rsid w:val="00FD68C2"/>
    <w:rsid w:val="00FD697C"/>
    <w:rsid w:val="00FD6B6A"/>
    <w:rsid w:val="00FD6E67"/>
    <w:rsid w:val="00FD741E"/>
    <w:rsid w:val="00FD76F5"/>
    <w:rsid w:val="00FD79F3"/>
    <w:rsid w:val="00FD7CE9"/>
    <w:rsid w:val="00FD7CF5"/>
    <w:rsid w:val="00FE0536"/>
    <w:rsid w:val="00FE0C76"/>
    <w:rsid w:val="00FE1194"/>
    <w:rsid w:val="00FE135E"/>
    <w:rsid w:val="00FE188C"/>
    <w:rsid w:val="00FE1BE6"/>
    <w:rsid w:val="00FE1E73"/>
    <w:rsid w:val="00FE2C65"/>
    <w:rsid w:val="00FE356F"/>
    <w:rsid w:val="00FE3622"/>
    <w:rsid w:val="00FE3AD7"/>
    <w:rsid w:val="00FE4187"/>
    <w:rsid w:val="00FE44B0"/>
    <w:rsid w:val="00FE4715"/>
    <w:rsid w:val="00FE4839"/>
    <w:rsid w:val="00FE4E76"/>
    <w:rsid w:val="00FE534D"/>
    <w:rsid w:val="00FE5A29"/>
    <w:rsid w:val="00FE60F9"/>
    <w:rsid w:val="00FE7158"/>
    <w:rsid w:val="00FE7997"/>
    <w:rsid w:val="00FE7C99"/>
    <w:rsid w:val="00FE7FA2"/>
    <w:rsid w:val="00FF0201"/>
    <w:rsid w:val="00FF0238"/>
    <w:rsid w:val="00FF078A"/>
    <w:rsid w:val="00FF0D29"/>
    <w:rsid w:val="00FF10A0"/>
    <w:rsid w:val="00FF1D72"/>
    <w:rsid w:val="00FF1ED3"/>
    <w:rsid w:val="00FF26A7"/>
    <w:rsid w:val="00FF2800"/>
    <w:rsid w:val="00FF360D"/>
    <w:rsid w:val="00FF3A5A"/>
    <w:rsid w:val="00FF4043"/>
    <w:rsid w:val="00FF44EF"/>
    <w:rsid w:val="00FF5039"/>
    <w:rsid w:val="00FF58E8"/>
    <w:rsid w:val="00FF5923"/>
    <w:rsid w:val="00FF5A1C"/>
    <w:rsid w:val="00FF5EA2"/>
    <w:rsid w:val="00FF5FDA"/>
    <w:rsid w:val="00FF6402"/>
    <w:rsid w:val="00FF64D1"/>
    <w:rsid w:val="00FF680E"/>
    <w:rsid w:val="00FF7226"/>
    <w:rsid w:val="00FF7289"/>
    <w:rsid w:val="00FF7313"/>
    <w:rsid w:val="00FF75B5"/>
    <w:rsid w:val="00FF777C"/>
    <w:rsid w:val="00FF7B44"/>
    <w:rsid w:val="00FF7F47"/>
    <w:rsid w:val="0139EF96"/>
    <w:rsid w:val="0157C2A1"/>
    <w:rsid w:val="018224DA"/>
    <w:rsid w:val="01A21501"/>
    <w:rsid w:val="01E4ECE0"/>
    <w:rsid w:val="022EE05D"/>
    <w:rsid w:val="028EAA11"/>
    <w:rsid w:val="02D289AB"/>
    <w:rsid w:val="0323203A"/>
    <w:rsid w:val="03261497"/>
    <w:rsid w:val="032EA42D"/>
    <w:rsid w:val="03324A90"/>
    <w:rsid w:val="03565431"/>
    <w:rsid w:val="0370B946"/>
    <w:rsid w:val="037A26E1"/>
    <w:rsid w:val="039EAAF8"/>
    <w:rsid w:val="039F36DD"/>
    <w:rsid w:val="03A2A9AB"/>
    <w:rsid w:val="03A43F01"/>
    <w:rsid w:val="03AA0BDB"/>
    <w:rsid w:val="03BFBF5A"/>
    <w:rsid w:val="03C60E3C"/>
    <w:rsid w:val="03C6379A"/>
    <w:rsid w:val="03E658DB"/>
    <w:rsid w:val="03ED6957"/>
    <w:rsid w:val="0404DE0D"/>
    <w:rsid w:val="04852E28"/>
    <w:rsid w:val="048DCFCC"/>
    <w:rsid w:val="04A1A663"/>
    <w:rsid w:val="04A39D2F"/>
    <w:rsid w:val="051F1CBC"/>
    <w:rsid w:val="052A4377"/>
    <w:rsid w:val="053048CF"/>
    <w:rsid w:val="0561848E"/>
    <w:rsid w:val="05DFB110"/>
    <w:rsid w:val="062555A5"/>
    <w:rsid w:val="062E2A3F"/>
    <w:rsid w:val="062E7022"/>
    <w:rsid w:val="06556EBF"/>
    <w:rsid w:val="0690BD53"/>
    <w:rsid w:val="06A3FBFB"/>
    <w:rsid w:val="06B32869"/>
    <w:rsid w:val="06E74BBF"/>
    <w:rsid w:val="06FCDC3B"/>
    <w:rsid w:val="072CA9A4"/>
    <w:rsid w:val="0741D32A"/>
    <w:rsid w:val="074B485E"/>
    <w:rsid w:val="07541E2D"/>
    <w:rsid w:val="075CA230"/>
    <w:rsid w:val="076DC30F"/>
    <w:rsid w:val="07D14D95"/>
    <w:rsid w:val="07D27491"/>
    <w:rsid w:val="07E1650F"/>
    <w:rsid w:val="081D1945"/>
    <w:rsid w:val="08288A6E"/>
    <w:rsid w:val="082E3DF1"/>
    <w:rsid w:val="084AA73E"/>
    <w:rsid w:val="084F9042"/>
    <w:rsid w:val="085A8755"/>
    <w:rsid w:val="08F4B4E4"/>
    <w:rsid w:val="090E3657"/>
    <w:rsid w:val="0962523E"/>
    <w:rsid w:val="0962E2B5"/>
    <w:rsid w:val="09A3E410"/>
    <w:rsid w:val="09B7ACAF"/>
    <w:rsid w:val="09CCB433"/>
    <w:rsid w:val="0A367EB0"/>
    <w:rsid w:val="0A89EDEF"/>
    <w:rsid w:val="0A937C72"/>
    <w:rsid w:val="0ADEC543"/>
    <w:rsid w:val="0B2D29E8"/>
    <w:rsid w:val="0B30C1D5"/>
    <w:rsid w:val="0B4FC156"/>
    <w:rsid w:val="0B6DA400"/>
    <w:rsid w:val="0B84FB5D"/>
    <w:rsid w:val="0C609CAA"/>
    <w:rsid w:val="0C6D825E"/>
    <w:rsid w:val="0C731585"/>
    <w:rsid w:val="0C7F656C"/>
    <w:rsid w:val="0C8BB61F"/>
    <w:rsid w:val="0CBD0121"/>
    <w:rsid w:val="0CDA8939"/>
    <w:rsid w:val="0CFA88C9"/>
    <w:rsid w:val="0D1F0FEE"/>
    <w:rsid w:val="0D6C1BA1"/>
    <w:rsid w:val="0D7C8D2A"/>
    <w:rsid w:val="0D7CFC69"/>
    <w:rsid w:val="0D7EA3E7"/>
    <w:rsid w:val="0D823200"/>
    <w:rsid w:val="0DC0F739"/>
    <w:rsid w:val="0DEFC687"/>
    <w:rsid w:val="0E239E9F"/>
    <w:rsid w:val="0E5D8F15"/>
    <w:rsid w:val="0E705AB5"/>
    <w:rsid w:val="0E7A4B11"/>
    <w:rsid w:val="0E89846D"/>
    <w:rsid w:val="0E989A61"/>
    <w:rsid w:val="0EB32814"/>
    <w:rsid w:val="0EB51352"/>
    <w:rsid w:val="0EEB48C1"/>
    <w:rsid w:val="0F177619"/>
    <w:rsid w:val="0F1C5ABD"/>
    <w:rsid w:val="0F797BCC"/>
    <w:rsid w:val="0F87E839"/>
    <w:rsid w:val="0FC9F7BA"/>
    <w:rsid w:val="103146A5"/>
    <w:rsid w:val="107F5142"/>
    <w:rsid w:val="1080C301"/>
    <w:rsid w:val="10994145"/>
    <w:rsid w:val="1099A4C9"/>
    <w:rsid w:val="10B3467A"/>
    <w:rsid w:val="10C5B392"/>
    <w:rsid w:val="10F17707"/>
    <w:rsid w:val="110C0D0B"/>
    <w:rsid w:val="1148B8CE"/>
    <w:rsid w:val="114DDD5E"/>
    <w:rsid w:val="1166A243"/>
    <w:rsid w:val="116B7DF3"/>
    <w:rsid w:val="119AF91D"/>
    <w:rsid w:val="119CAB78"/>
    <w:rsid w:val="11AA63EF"/>
    <w:rsid w:val="11BAA2A7"/>
    <w:rsid w:val="11CAE2E5"/>
    <w:rsid w:val="11E98949"/>
    <w:rsid w:val="12127D34"/>
    <w:rsid w:val="123FCA2D"/>
    <w:rsid w:val="1292D4C5"/>
    <w:rsid w:val="129E3337"/>
    <w:rsid w:val="12A56B7C"/>
    <w:rsid w:val="12D06B0E"/>
    <w:rsid w:val="1310ED3A"/>
    <w:rsid w:val="134D8F18"/>
    <w:rsid w:val="13589D1C"/>
    <w:rsid w:val="135EC880"/>
    <w:rsid w:val="135ECE4F"/>
    <w:rsid w:val="13E4619A"/>
    <w:rsid w:val="141E9617"/>
    <w:rsid w:val="1479EC8F"/>
    <w:rsid w:val="14B04093"/>
    <w:rsid w:val="14B6A9C1"/>
    <w:rsid w:val="14B8D431"/>
    <w:rsid w:val="14C2862E"/>
    <w:rsid w:val="14D793BF"/>
    <w:rsid w:val="14DFA64B"/>
    <w:rsid w:val="14F60114"/>
    <w:rsid w:val="150BA834"/>
    <w:rsid w:val="151491D9"/>
    <w:rsid w:val="1539646C"/>
    <w:rsid w:val="153AF803"/>
    <w:rsid w:val="1560F982"/>
    <w:rsid w:val="159B0D7E"/>
    <w:rsid w:val="159FA314"/>
    <w:rsid w:val="1609E768"/>
    <w:rsid w:val="161B17A7"/>
    <w:rsid w:val="1641F92C"/>
    <w:rsid w:val="1657952B"/>
    <w:rsid w:val="16B42FC7"/>
    <w:rsid w:val="170FBF14"/>
    <w:rsid w:val="17150C50"/>
    <w:rsid w:val="171C899C"/>
    <w:rsid w:val="1757ED74"/>
    <w:rsid w:val="175D032F"/>
    <w:rsid w:val="17EF2D84"/>
    <w:rsid w:val="1842B17E"/>
    <w:rsid w:val="1849C78C"/>
    <w:rsid w:val="184B320E"/>
    <w:rsid w:val="18745FE6"/>
    <w:rsid w:val="187B5AA6"/>
    <w:rsid w:val="189C7AAC"/>
    <w:rsid w:val="18A0D1C3"/>
    <w:rsid w:val="18D4A57F"/>
    <w:rsid w:val="18E1416B"/>
    <w:rsid w:val="18F8CC60"/>
    <w:rsid w:val="19422270"/>
    <w:rsid w:val="1970B54D"/>
    <w:rsid w:val="19781998"/>
    <w:rsid w:val="19A26902"/>
    <w:rsid w:val="19B0EC62"/>
    <w:rsid w:val="19C323DB"/>
    <w:rsid w:val="19C9A508"/>
    <w:rsid w:val="19E58EF1"/>
    <w:rsid w:val="1A08F103"/>
    <w:rsid w:val="1A0D5844"/>
    <w:rsid w:val="1A476486"/>
    <w:rsid w:val="1A602A44"/>
    <w:rsid w:val="1A711AFE"/>
    <w:rsid w:val="1A88F0C4"/>
    <w:rsid w:val="1B05C809"/>
    <w:rsid w:val="1B094F56"/>
    <w:rsid w:val="1B15DF5E"/>
    <w:rsid w:val="1B29354E"/>
    <w:rsid w:val="1B402411"/>
    <w:rsid w:val="1B4EA054"/>
    <w:rsid w:val="1B57D4C8"/>
    <w:rsid w:val="1C6C9787"/>
    <w:rsid w:val="1C7F0809"/>
    <w:rsid w:val="1CAF0A15"/>
    <w:rsid w:val="1CB40C1E"/>
    <w:rsid w:val="1CC22A76"/>
    <w:rsid w:val="1CE7663F"/>
    <w:rsid w:val="1D0B2CB1"/>
    <w:rsid w:val="1D1E693B"/>
    <w:rsid w:val="1D24F500"/>
    <w:rsid w:val="1D2CED1E"/>
    <w:rsid w:val="1D626FA0"/>
    <w:rsid w:val="1DAF2140"/>
    <w:rsid w:val="1DD366F5"/>
    <w:rsid w:val="1E0937F1"/>
    <w:rsid w:val="1E3940F6"/>
    <w:rsid w:val="1E745221"/>
    <w:rsid w:val="1E79E62A"/>
    <w:rsid w:val="1E885841"/>
    <w:rsid w:val="1EA00F98"/>
    <w:rsid w:val="1EE53D14"/>
    <w:rsid w:val="1F38596E"/>
    <w:rsid w:val="1F3F9E6C"/>
    <w:rsid w:val="1F74EC08"/>
    <w:rsid w:val="20252AFA"/>
    <w:rsid w:val="2063F668"/>
    <w:rsid w:val="2095D6E8"/>
    <w:rsid w:val="20F52EC1"/>
    <w:rsid w:val="213CC8F3"/>
    <w:rsid w:val="2146E35C"/>
    <w:rsid w:val="2158BBF3"/>
    <w:rsid w:val="2181D10B"/>
    <w:rsid w:val="21894576"/>
    <w:rsid w:val="21A82C73"/>
    <w:rsid w:val="21AA5F4C"/>
    <w:rsid w:val="21AE0F8E"/>
    <w:rsid w:val="21E74D38"/>
    <w:rsid w:val="222987ED"/>
    <w:rsid w:val="2234064C"/>
    <w:rsid w:val="223C2E38"/>
    <w:rsid w:val="224A060F"/>
    <w:rsid w:val="2296891A"/>
    <w:rsid w:val="22ED204F"/>
    <w:rsid w:val="230B0D27"/>
    <w:rsid w:val="2344AADA"/>
    <w:rsid w:val="23A71F80"/>
    <w:rsid w:val="23DD5F21"/>
    <w:rsid w:val="23EDAA06"/>
    <w:rsid w:val="240036A8"/>
    <w:rsid w:val="24062AF5"/>
    <w:rsid w:val="24170C32"/>
    <w:rsid w:val="24209071"/>
    <w:rsid w:val="2421E308"/>
    <w:rsid w:val="24897068"/>
    <w:rsid w:val="24A7F4A4"/>
    <w:rsid w:val="24CA9381"/>
    <w:rsid w:val="24F26604"/>
    <w:rsid w:val="250E9D4C"/>
    <w:rsid w:val="2569239B"/>
    <w:rsid w:val="25C3B2C3"/>
    <w:rsid w:val="25DB1984"/>
    <w:rsid w:val="25E6CB07"/>
    <w:rsid w:val="2604436C"/>
    <w:rsid w:val="26BFC1D3"/>
    <w:rsid w:val="26C849B5"/>
    <w:rsid w:val="26CF717C"/>
    <w:rsid w:val="26F0C0FF"/>
    <w:rsid w:val="271133D7"/>
    <w:rsid w:val="2719111F"/>
    <w:rsid w:val="276612AF"/>
    <w:rsid w:val="278BA7E7"/>
    <w:rsid w:val="27B026AD"/>
    <w:rsid w:val="28163FD0"/>
    <w:rsid w:val="282E5CE4"/>
    <w:rsid w:val="2851A773"/>
    <w:rsid w:val="285B4486"/>
    <w:rsid w:val="29BC94A4"/>
    <w:rsid w:val="29C8A482"/>
    <w:rsid w:val="29D1A883"/>
    <w:rsid w:val="2A148109"/>
    <w:rsid w:val="2A695315"/>
    <w:rsid w:val="2A71F4CF"/>
    <w:rsid w:val="2A93602A"/>
    <w:rsid w:val="2ACBBBA5"/>
    <w:rsid w:val="2AE2D3F4"/>
    <w:rsid w:val="2AF1D001"/>
    <w:rsid w:val="2B29F17F"/>
    <w:rsid w:val="2B2BF332"/>
    <w:rsid w:val="2B52E756"/>
    <w:rsid w:val="2B606134"/>
    <w:rsid w:val="2B96D45C"/>
    <w:rsid w:val="2BB79BCF"/>
    <w:rsid w:val="2BBE3242"/>
    <w:rsid w:val="2BC9BAC7"/>
    <w:rsid w:val="2BE98E6E"/>
    <w:rsid w:val="2BF1944B"/>
    <w:rsid w:val="2C052376"/>
    <w:rsid w:val="2C3A7FBE"/>
    <w:rsid w:val="2CAF0FD3"/>
    <w:rsid w:val="2CB4F8BC"/>
    <w:rsid w:val="2CF9FB0F"/>
    <w:rsid w:val="2D2697FB"/>
    <w:rsid w:val="2D622D0C"/>
    <w:rsid w:val="2D800FB9"/>
    <w:rsid w:val="2D8CCD34"/>
    <w:rsid w:val="2DABB687"/>
    <w:rsid w:val="2DAEABDF"/>
    <w:rsid w:val="2DBD4E4F"/>
    <w:rsid w:val="2E1C03DA"/>
    <w:rsid w:val="2E76D633"/>
    <w:rsid w:val="2E94B165"/>
    <w:rsid w:val="2EBFBA07"/>
    <w:rsid w:val="2EDC424F"/>
    <w:rsid w:val="2EF1A51F"/>
    <w:rsid w:val="2F028A4A"/>
    <w:rsid w:val="2F116E71"/>
    <w:rsid w:val="2F4C6DA4"/>
    <w:rsid w:val="2F7AA176"/>
    <w:rsid w:val="2FE743FF"/>
    <w:rsid w:val="3005F47D"/>
    <w:rsid w:val="30250131"/>
    <w:rsid w:val="303914BA"/>
    <w:rsid w:val="308A1B81"/>
    <w:rsid w:val="30979110"/>
    <w:rsid w:val="30C4D639"/>
    <w:rsid w:val="30E6CC41"/>
    <w:rsid w:val="30FE7F8A"/>
    <w:rsid w:val="3124B851"/>
    <w:rsid w:val="312E04C2"/>
    <w:rsid w:val="31535402"/>
    <w:rsid w:val="31616C0E"/>
    <w:rsid w:val="3168E88E"/>
    <w:rsid w:val="31B45D13"/>
    <w:rsid w:val="32372808"/>
    <w:rsid w:val="324D979C"/>
    <w:rsid w:val="326F7E05"/>
    <w:rsid w:val="32779FC6"/>
    <w:rsid w:val="3284A2A6"/>
    <w:rsid w:val="32879703"/>
    <w:rsid w:val="32B00061"/>
    <w:rsid w:val="32B7FB23"/>
    <w:rsid w:val="32CD6D6B"/>
    <w:rsid w:val="32D31BD5"/>
    <w:rsid w:val="32ECE424"/>
    <w:rsid w:val="3309E057"/>
    <w:rsid w:val="3314EA9B"/>
    <w:rsid w:val="335609E6"/>
    <w:rsid w:val="33563995"/>
    <w:rsid w:val="337B648E"/>
    <w:rsid w:val="338908F8"/>
    <w:rsid w:val="33C83D70"/>
    <w:rsid w:val="33E994EB"/>
    <w:rsid w:val="345F9A7D"/>
    <w:rsid w:val="3468BE14"/>
    <w:rsid w:val="3486CAD3"/>
    <w:rsid w:val="34AC8958"/>
    <w:rsid w:val="35116442"/>
    <w:rsid w:val="35480742"/>
    <w:rsid w:val="35830242"/>
    <w:rsid w:val="35C997D5"/>
    <w:rsid w:val="3611B57D"/>
    <w:rsid w:val="365D188C"/>
    <w:rsid w:val="36AD80B7"/>
    <w:rsid w:val="36C32762"/>
    <w:rsid w:val="36E1FCD0"/>
    <w:rsid w:val="373AA0E1"/>
    <w:rsid w:val="37E5B13C"/>
    <w:rsid w:val="37EE4EE8"/>
    <w:rsid w:val="3808BFC8"/>
    <w:rsid w:val="3847BFC4"/>
    <w:rsid w:val="387C2D42"/>
    <w:rsid w:val="388F2F8A"/>
    <w:rsid w:val="390E4514"/>
    <w:rsid w:val="391C830C"/>
    <w:rsid w:val="39242368"/>
    <w:rsid w:val="397AD928"/>
    <w:rsid w:val="39985FFB"/>
    <w:rsid w:val="399A9629"/>
    <w:rsid w:val="39AC6226"/>
    <w:rsid w:val="39B0DD6A"/>
    <w:rsid w:val="39DBA05C"/>
    <w:rsid w:val="39DE3461"/>
    <w:rsid w:val="39E6AA03"/>
    <w:rsid w:val="3A5F05C9"/>
    <w:rsid w:val="3A6234C1"/>
    <w:rsid w:val="3AB7F94D"/>
    <w:rsid w:val="3ABFEE6B"/>
    <w:rsid w:val="3AD61857"/>
    <w:rsid w:val="3AF97CFF"/>
    <w:rsid w:val="3B005FB8"/>
    <w:rsid w:val="3B2F6C67"/>
    <w:rsid w:val="3B38A172"/>
    <w:rsid w:val="3B8AB44E"/>
    <w:rsid w:val="3BB7C7EE"/>
    <w:rsid w:val="3BBB9351"/>
    <w:rsid w:val="3BC42B53"/>
    <w:rsid w:val="3BE3CB76"/>
    <w:rsid w:val="3C04253F"/>
    <w:rsid w:val="3C13D380"/>
    <w:rsid w:val="3C1B7A11"/>
    <w:rsid w:val="3C3387A2"/>
    <w:rsid w:val="3C419FAE"/>
    <w:rsid w:val="3C44C279"/>
    <w:rsid w:val="3C4AE267"/>
    <w:rsid w:val="3C6F924E"/>
    <w:rsid w:val="3C718D2A"/>
    <w:rsid w:val="3C81E888"/>
    <w:rsid w:val="3C90FD12"/>
    <w:rsid w:val="3C943877"/>
    <w:rsid w:val="3CCDB2B7"/>
    <w:rsid w:val="3CDF7AF4"/>
    <w:rsid w:val="3D0012F2"/>
    <w:rsid w:val="3D2E24D6"/>
    <w:rsid w:val="3D571A0F"/>
    <w:rsid w:val="3DA93F5A"/>
    <w:rsid w:val="3DC33468"/>
    <w:rsid w:val="3DDB06CB"/>
    <w:rsid w:val="3DFD2C25"/>
    <w:rsid w:val="3E5B655D"/>
    <w:rsid w:val="3E67F565"/>
    <w:rsid w:val="3EA0B65B"/>
    <w:rsid w:val="3EE33241"/>
    <w:rsid w:val="3EF1DDE5"/>
    <w:rsid w:val="3F0D4DE1"/>
    <w:rsid w:val="3F330B96"/>
    <w:rsid w:val="3F8030DC"/>
    <w:rsid w:val="3FA61308"/>
    <w:rsid w:val="3FB70FBF"/>
    <w:rsid w:val="3FB7B741"/>
    <w:rsid w:val="403E499C"/>
    <w:rsid w:val="406D18EC"/>
    <w:rsid w:val="40729B6C"/>
    <w:rsid w:val="40758303"/>
    <w:rsid w:val="40B3DACD"/>
    <w:rsid w:val="40DBB618"/>
    <w:rsid w:val="40E5363A"/>
    <w:rsid w:val="4106E4B8"/>
    <w:rsid w:val="412A5FFA"/>
    <w:rsid w:val="414BD580"/>
    <w:rsid w:val="416A73EB"/>
    <w:rsid w:val="41B19563"/>
    <w:rsid w:val="41BDE425"/>
    <w:rsid w:val="41CBFC31"/>
    <w:rsid w:val="42856751"/>
    <w:rsid w:val="428A6F75"/>
    <w:rsid w:val="42CA9111"/>
    <w:rsid w:val="42DEA39F"/>
    <w:rsid w:val="42E7F168"/>
    <w:rsid w:val="42EDD22B"/>
    <w:rsid w:val="42F1E247"/>
    <w:rsid w:val="42F79376"/>
    <w:rsid w:val="431DBB1C"/>
    <w:rsid w:val="435CD021"/>
    <w:rsid w:val="4365918D"/>
    <w:rsid w:val="4388D184"/>
    <w:rsid w:val="43A2AAEC"/>
    <w:rsid w:val="43F55AF2"/>
    <w:rsid w:val="4402BE13"/>
    <w:rsid w:val="4446133F"/>
    <w:rsid w:val="4476DD0D"/>
    <w:rsid w:val="44F4ED6F"/>
    <w:rsid w:val="44F6B259"/>
    <w:rsid w:val="44FA427A"/>
    <w:rsid w:val="4577E9E6"/>
    <w:rsid w:val="457A4740"/>
    <w:rsid w:val="4606C6D8"/>
    <w:rsid w:val="461A5D16"/>
    <w:rsid w:val="465DBAA6"/>
    <w:rsid w:val="467AE3DF"/>
    <w:rsid w:val="46954DBE"/>
    <w:rsid w:val="4699A045"/>
    <w:rsid w:val="46BD213C"/>
    <w:rsid w:val="46DBD96A"/>
    <w:rsid w:val="46DF1EB6"/>
    <w:rsid w:val="4725DE4B"/>
    <w:rsid w:val="472F2DF6"/>
    <w:rsid w:val="47B020E7"/>
    <w:rsid w:val="4810340E"/>
    <w:rsid w:val="48116D96"/>
    <w:rsid w:val="4816D119"/>
    <w:rsid w:val="4866DCEF"/>
    <w:rsid w:val="48919BC6"/>
    <w:rsid w:val="48A33AB0"/>
    <w:rsid w:val="48CEA752"/>
    <w:rsid w:val="48D47E1B"/>
    <w:rsid w:val="48FADA8B"/>
    <w:rsid w:val="4909D741"/>
    <w:rsid w:val="490CA996"/>
    <w:rsid w:val="494C7D5C"/>
    <w:rsid w:val="49711A82"/>
    <w:rsid w:val="497BDFBF"/>
    <w:rsid w:val="49A77A39"/>
    <w:rsid w:val="49AF1532"/>
    <w:rsid w:val="49D37519"/>
    <w:rsid w:val="49DE5E11"/>
    <w:rsid w:val="4A07B562"/>
    <w:rsid w:val="4A2212B8"/>
    <w:rsid w:val="4A2E91A7"/>
    <w:rsid w:val="4A78B29A"/>
    <w:rsid w:val="4A822143"/>
    <w:rsid w:val="4A94DE7E"/>
    <w:rsid w:val="4A9AAB5E"/>
    <w:rsid w:val="4A9B8F0D"/>
    <w:rsid w:val="4A9D12D9"/>
    <w:rsid w:val="4AA9448A"/>
    <w:rsid w:val="4ADBAA74"/>
    <w:rsid w:val="4AE29004"/>
    <w:rsid w:val="4AF5F928"/>
    <w:rsid w:val="4B0D284C"/>
    <w:rsid w:val="4B4BD542"/>
    <w:rsid w:val="4BAD7B05"/>
    <w:rsid w:val="4BFBFDA9"/>
    <w:rsid w:val="4BFF3F5E"/>
    <w:rsid w:val="4C2CC469"/>
    <w:rsid w:val="4CED1ABB"/>
    <w:rsid w:val="4D09F33C"/>
    <w:rsid w:val="4D20A402"/>
    <w:rsid w:val="4D39CE22"/>
    <w:rsid w:val="4D59F357"/>
    <w:rsid w:val="4D857936"/>
    <w:rsid w:val="4D864A37"/>
    <w:rsid w:val="4E206807"/>
    <w:rsid w:val="4E777D74"/>
    <w:rsid w:val="4E94371E"/>
    <w:rsid w:val="4E9FCBC4"/>
    <w:rsid w:val="4EB943C0"/>
    <w:rsid w:val="4EFB7705"/>
    <w:rsid w:val="4F0BFB20"/>
    <w:rsid w:val="4F31B80D"/>
    <w:rsid w:val="4F628DF6"/>
    <w:rsid w:val="4FB8A744"/>
    <w:rsid w:val="500125DA"/>
    <w:rsid w:val="500277A5"/>
    <w:rsid w:val="50362A48"/>
    <w:rsid w:val="504A23B6"/>
    <w:rsid w:val="507B2137"/>
    <w:rsid w:val="50AC9EF7"/>
    <w:rsid w:val="50BA25F9"/>
    <w:rsid w:val="50C7D2DB"/>
    <w:rsid w:val="50D129A1"/>
    <w:rsid w:val="50FCA9E5"/>
    <w:rsid w:val="51091F31"/>
    <w:rsid w:val="51162090"/>
    <w:rsid w:val="519BF31B"/>
    <w:rsid w:val="51A73BBD"/>
    <w:rsid w:val="51E0F10B"/>
    <w:rsid w:val="51E30171"/>
    <w:rsid w:val="528B4C63"/>
    <w:rsid w:val="52C827B8"/>
    <w:rsid w:val="533EB449"/>
    <w:rsid w:val="53580A84"/>
    <w:rsid w:val="536E491C"/>
    <w:rsid w:val="538D2E92"/>
    <w:rsid w:val="5396AEB4"/>
    <w:rsid w:val="539D0173"/>
    <w:rsid w:val="53A06486"/>
    <w:rsid w:val="53F96AFF"/>
    <w:rsid w:val="5428411C"/>
    <w:rsid w:val="549A1FFF"/>
    <w:rsid w:val="54A35DF3"/>
    <w:rsid w:val="54DE9F9C"/>
    <w:rsid w:val="5536A01A"/>
    <w:rsid w:val="5566342C"/>
    <w:rsid w:val="55AEC0D9"/>
    <w:rsid w:val="55C496E7"/>
    <w:rsid w:val="55D1CB17"/>
    <w:rsid w:val="55FAFF5B"/>
    <w:rsid w:val="568284C1"/>
    <w:rsid w:val="56928B95"/>
    <w:rsid w:val="56BAD56C"/>
    <w:rsid w:val="56D54C97"/>
    <w:rsid w:val="56D55C88"/>
    <w:rsid w:val="56F4ED6D"/>
    <w:rsid w:val="570449DF"/>
    <w:rsid w:val="5712AEED"/>
    <w:rsid w:val="5735E351"/>
    <w:rsid w:val="5742D08D"/>
    <w:rsid w:val="57936743"/>
    <w:rsid w:val="57D1AE16"/>
    <w:rsid w:val="5803BBB4"/>
    <w:rsid w:val="5808022F"/>
    <w:rsid w:val="5848C2EE"/>
    <w:rsid w:val="586B63B6"/>
    <w:rsid w:val="586E9D79"/>
    <w:rsid w:val="588F253B"/>
    <w:rsid w:val="58A81AC7"/>
    <w:rsid w:val="58ACE7A3"/>
    <w:rsid w:val="58C87490"/>
    <w:rsid w:val="5904F35C"/>
    <w:rsid w:val="591195CD"/>
    <w:rsid w:val="5955B7DB"/>
    <w:rsid w:val="595ED765"/>
    <w:rsid w:val="59710C6A"/>
    <w:rsid w:val="59770A2C"/>
    <w:rsid w:val="598021C8"/>
    <w:rsid w:val="5995D1DD"/>
    <w:rsid w:val="5999F014"/>
    <w:rsid w:val="59B93FC9"/>
    <w:rsid w:val="5A040D6D"/>
    <w:rsid w:val="5A122849"/>
    <w:rsid w:val="5A2178F1"/>
    <w:rsid w:val="5A74BD7B"/>
    <w:rsid w:val="5ACAD916"/>
    <w:rsid w:val="5AE56CD1"/>
    <w:rsid w:val="5AF68EBC"/>
    <w:rsid w:val="5B2967A1"/>
    <w:rsid w:val="5B5AD5CF"/>
    <w:rsid w:val="5B5EECFD"/>
    <w:rsid w:val="5B63A150"/>
    <w:rsid w:val="5B6DF5BF"/>
    <w:rsid w:val="5BCA9036"/>
    <w:rsid w:val="5BEAB7FA"/>
    <w:rsid w:val="5C133A38"/>
    <w:rsid w:val="5C1E6EB4"/>
    <w:rsid w:val="5C1EE30E"/>
    <w:rsid w:val="5C2FAEE9"/>
    <w:rsid w:val="5C58DDCF"/>
    <w:rsid w:val="5CB25EAC"/>
    <w:rsid w:val="5CB6CA4A"/>
    <w:rsid w:val="5CD0F95E"/>
    <w:rsid w:val="5CD1B814"/>
    <w:rsid w:val="5D0266DE"/>
    <w:rsid w:val="5D3436D8"/>
    <w:rsid w:val="5D7C6462"/>
    <w:rsid w:val="5D81DCE8"/>
    <w:rsid w:val="5DA00569"/>
    <w:rsid w:val="5DB23C5F"/>
    <w:rsid w:val="5DC6FE1B"/>
    <w:rsid w:val="5DC96C7E"/>
    <w:rsid w:val="5DE4C785"/>
    <w:rsid w:val="5DE9DBF4"/>
    <w:rsid w:val="5E15624B"/>
    <w:rsid w:val="5E3A0E6F"/>
    <w:rsid w:val="5E6BFC00"/>
    <w:rsid w:val="5EC88B2B"/>
    <w:rsid w:val="5EDCCA55"/>
    <w:rsid w:val="5EF05EA9"/>
    <w:rsid w:val="5F21C144"/>
    <w:rsid w:val="5F8E52FF"/>
    <w:rsid w:val="5FC5B821"/>
    <w:rsid w:val="605228F9"/>
    <w:rsid w:val="605C3651"/>
    <w:rsid w:val="60789168"/>
    <w:rsid w:val="609217C4"/>
    <w:rsid w:val="60A08972"/>
    <w:rsid w:val="60C6CFFB"/>
    <w:rsid w:val="60D586AF"/>
    <w:rsid w:val="60EFC6C0"/>
    <w:rsid w:val="611F4316"/>
    <w:rsid w:val="61404C50"/>
    <w:rsid w:val="61640719"/>
    <w:rsid w:val="61643220"/>
    <w:rsid w:val="61A8CB37"/>
    <w:rsid w:val="61AD7B64"/>
    <w:rsid w:val="61B709E7"/>
    <w:rsid w:val="61BA0B6C"/>
    <w:rsid w:val="61BF2675"/>
    <w:rsid w:val="61D7D90F"/>
    <w:rsid w:val="61F3790A"/>
    <w:rsid w:val="6223A11B"/>
    <w:rsid w:val="623288E5"/>
    <w:rsid w:val="6235DFC0"/>
    <w:rsid w:val="62661494"/>
    <w:rsid w:val="627A9739"/>
    <w:rsid w:val="628D9B08"/>
    <w:rsid w:val="62D246E3"/>
    <w:rsid w:val="631A2334"/>
    <w:rsid w:val="6339344B"/>
    <w:rsid w:val="63B18649"/>
    <w:rsid w:val="63DF7E6A"/>
    <w:rsid w:val="643F93C0"/>
    <w:rsid w:val="6484087D"/>
    <w:rsid w:val="6485C570"/>
    <w:rsid w:val="64B2C2F2"/>
    <w:rsid w:val="64CB033D"/>
    <w:rsid w:val="64DE2552"/>
    <w:rsid w:val="64F6BBA4"/>
    <w:rsid w:val="64FA4A33"/>
    <w:rsid w:val="64FD7A3A"/>
    <w:rsid w:val="651E1238"/>
    <w:rsid w:val="654C38C9"/>
    <w:rsid w:val="656C4BE0"/>
    <w:rsid w:val="6630B9A6"/>
    <w:rsid w:val="66C5B2AC"/>
    <w:rsid w:val="66D190C5"/>
    <w:rsid w:val="66EE449B"/>
    <w:rsid w:val="6735662B"/>
    <w:rsid w:val="67474C56"/>
    <w:rsid w:val="674B0D1A"/>
    <w:rsid w:val="67555FFF"/>
    <w:rsid w:val="677173DE"/>
    <w:rsid w:val="67EAA391"/>
    <w:rsid w:val="68102493"/>
    <w:rsid w:val="6817A113"/>
    <w:rsid w:val="682341CD"/>
    <w:rsid w:val="686C7A46"/>
    <w:rsid w:val="6877DC44"/>
    <w:rsid w:val="68CC5D47"/>
    <w:rsid w:val="68EB20B8"/>
    <w:rsid w:val="697EAC31"/>
    <w:rsid w:val="69C13B20"/>
    <w:rsid w:val="69D7250D"/>
    <w:rsid w:val="69E898A3"/>
    <w:rsid w:val="6A2FC420"/>
    <w:rsid w:val="6A6ABD26"/>
    <w:rsid w:val="6A6E8B1E"/>
    <w:rsid w:val="6A9D64B5"/>
    <w:rsid w:val="6AD7FC05"/>
    <w:rsid w:val="6AE85D86"/>
    <w:rsid w:val="6B1899E5"/>
    <w:rsid w:val="6B4E04B6"/>
    <w:rsid w:val="6B8D639D"/>
    <w:rsid w:val="6BA74104"/>
    <w:rsid w:val="6BAEC2D1"/>
    <w:rsid w:val="6BBE6FA2"/>
    <w:rsid w:val="6C0D7EB1"/>
    <w:rsid w:val="6C252272"/>
    <w:rsid w:val="6C5C7648"/>
    <w:rsid w:val="6C86FB06"/>
    <w:rsid w:val="6CA09A56"/>
    <w:rsid w:val="6CE9EA4C"/>
    <w:rsid w:val="6D052B7F"/>
    <w:rsid w:val="6D50F23D"/>
    <w:rsid w:val="6D95E92C"/>
    <w:rsid w:val="6D9605D2"/>
    <w:rsid w:val="6DA85F40"/>
    <w:rsid w:val="6DAFF86E"/>
    <w:rsid w:val="6E9F41B4"/>
    <w:rsid w:val="6EA3DB33"/>
    <w:rsid w:val="6ECF94DF"/>
    <w:rsid w:val="6F086748"/>
    <w:rsid w:val="6F361A43"/>
    <w:rsid w:val="6F4DFFA3"/>
    <w:rsid w:val="6F9AC6FE"/>
    <w:rsid w:val="6FADBB00"/>
    <w:rsid w:val="6FE93C65"/>
    <w:rsid w:val="70136CC8"/>
    <w:rsid w:val="703C7850"/>
    <w:rsid w:val="708BECFE"/>
    <w:rsid w:val="70936A4A"/>
    <w:rsid w:val="70A0B3AA"/>
    <w:rsid w:val="70AC095E"/>
    <w:rsid w:val="716493B9"/>
    <w:rsid w:val="717C4579"/>
    <w:rsid w:val="719701B9"/>
    <w:rsid w:val="71CFEC6F"/>
    <w:rsid w:val="720F9CB4"/>
    <w:rsid w:val="7246455F"/>
    <w:rsid w:val="727E5E64"/>
    <w:rsid w:val="729283FB"/>
    <w:rsid w:val="72AB6144"/>
    <w:rsid w:val="72ABCAD2"/>
    <w:rsid w:val="72C25934"/>
    <w:rsid w:val="733BA802"/>
    <w:rsid w:val="73533BE1"/>
    <w:rsid w:val="73548DAC"/>
    <w:rsid w:val="736434EC"/>
    <w:rsid w:val="737CF8A2"/>
    <w:rsid w:val="7386224C"/>
    <w:rsid w:val="738C7B44"/>
    <w:rsid w:val="738FCAA4"/>
    <w:rsid w:val="739B2726"/>
    <w:rsid w:val="739BB9BC"/>
    <w:rsid w:val="73CA7394"/>
    <w:rsid w:val="7419AFB1"/>
    <w:rsid w:val="74617801"/>
    <w:rsid w:val="74B41DF2"/>
    <w:rsid w:val="74C58102"/>
    <w:rsid w:val="74CA138E"/>
    <w:rsid w:val="74E44DAF"/>
    <w:rsid w:val="74F706F1"/>
    <w:rsid w:val="75154096"/>
    <w:rsid w:val="752560FF"/>
    <w:rsid w:val="755C2B60"/>
    <w:rsid w:val="757D0D2A"/>
    <w:rsid w:val="75C39A1B"/>
    <w:rsid w:val="75FC8926"/>
    <w:rsid w:val="76249A93"/>
    <w:rsid w:val="76336E70"/>
    <w:rsid w:val="76401442"/>
    <w:rsid w:val="7641268C"/>
    <w:rsid w:val="765502FA"/>
    <w:rsid w:val="76689DC8"/>
    <w:rsid w:val="76765578"/>
    <w:rsid w:val="769EA882"/>
    <w:rsid w:val="774A6D4E"/>
    <w:rsid w:val="77EC4B94"/>
    <w:rsid w:val="780561E3"/>
    <w:rsid w:val="78526203"/>
    <w:rsid w:val="785EAF44"/>
    <w:rsid w:val="786A105C"/>
    <w:rsid w:val="78AAA232"/>
    <w:rsid w:val="78DEEA2F"/>
    <w:rsid w:val="78F02506"/>
    <w:rsid w:val="78FDFB46"/>
    <w:rsid w:val="79339270"/>
    <w:rsid w:val="7958D6BE"/>
    <w:rsid w:val="7969B10C"/>
    <w:rsid w:val="79E9A505"/>
    <w:rsid w:val="7A3F189C"/>
    <w:rsid w:val="7A8269B2"/>
    <w:rsid w:val="7AFC6637"/>
    <w:rsid w:val="7B024F20"/>
    <w:rsid w:val="7B27D022"/>
    <w:rsid w:val="7B2809C6"/>
    <w:rsid w:val="7B3CEE81"/>
    <w:rsid w:val="7B57BD9E"/>
    <w:rsid w:val="7B5C6594"/>
    <w:rsid w:val="7BAC6292"/>
    <w:rsid w:val="7BB07302"/>
    <w:rsid w:val="7BBD47D9"/>
    <w:rsid w:val="7BC68F44"/>
    <w:rsid w:val="7BE13B42"/>
    <w:rsid w:val="7BEE20F6"/>
    <w:rsid w:val="7BF8DA1A"/>
    <w:rsid w:val="7C822E17"/>
    <w:rsid w:val="7D98C3B6"/>
    <w:rsid w:val="7D9A9ECB"/>
    <w:rsid w:val="7DA71F60"/>
    <w:rsid w:val="7DF18FCA"/>
    <w:rsid w:val="7DF3EF48"/>
    <w:rsid w:val="7E000915"/>
    <w:rsid w:val="7E215EFD"/>
    <w:rsid w:val="7E232536"/>
    <w:rsid w:val="7E23DF89"/>
    <w:rsid w:val="7E25B290"/>
    <w:rsid w:val="7E417C29"/>
    <w:rsid w:val="7E46FB1D"/>
    <w:rsid w:val="7E56166B"/>
    <w:rsid w:val="7E692F88"/>
    <w:rsid w:val="7E9084BD"/>
    <w:rsid w:val="7EBF7878"/>
    <w:rsid w:val="7EC85DBA"/>
    <w:rsid w:val="7EEC8092"/>
    <w:rsid w:val="7EECE634"/>
    <w:rsid w:val="7F219E6B"/>
    <w:rsid w:val="7F3FC893"/>
    <w:rsid w:val="7FBB655F"/>
    <w:rsid w:val="7FD6B7D0"/>
    <w:rsid w:val="7FF3B961"/>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F759E"/>
  <w15:docId w15:val="{96A7EC92-F53A-4403-927E-AA2D04ACB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C31"/>
  </w:style>
  <w:style w:type="paragraph" w:styleId="Heading1">
    <w:name w:val="heading 1"/>
    <w:basedOn w:val="Normal"/>
    <w:next w:val="Normal"/>
    <w:link w:val="Heading1Char"/>
    <w:uiPriority w:val="9"/>
    <w:qFormat/>
    <w:rsid w:val="00206A9E"/>
    <w:pPr>
      <w:keepNext/>
      <w:keepLines/>
      <w:spacing w:before="240" w:after="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next w:val="Normal"/>
    <w:link w:val="Heading2Char"/>
    <w:uiPriority w:val="9"/>
    <w:unhideWhenUsed/>
    <w:qFormat/>
    <w:rsid w:val="00206A9E"/>
    <w:pPr>
      <w:keepNext/>
      <w:keepLines/>
      <w:spacing w:before="40" w:after="0"/>
      <w:outlineLvl w:val="1"/>
    </w:pPr>
    <w:rPr>
      <w:rFonts w:asciiTheme="majorHAnsi" w:eastAsiaTheme="majorEastAsia" w:hAnsiTheme="majorHAnsi" w:cstheme="majorBidi"/>
      <w:color w:val="276E8B" w:themeColor="accent1" w:themeShade="BF"/>
      <w:sz w:val="26"/>
      <w:szCs w:val="26"/>
    </w:rPr>
  </w:style>
  <w:style w:type="paragraph" w:styleId="Heading3">
    <w:name w:val="heading 3"/>
    <w:basedOn w:val="Normal"/>
    <w:next w:val="Normal"/>
    <w:link w:val="Heading3Char"/>
    <w:uiPriority w:val="9"/>
    <w:unhideWhenUsed/>
    <w:qFormat/>
    <w:rsid w:val="001A76A4"/>
    <w:pPr>
      <w:keepNext/>
      <w:keepLines/>
      <w:spacing w:before="120" w:after="120" w:line="240" w:lineRule="auto"/>
      <w:outlineLvl w:val="2"/>
    </w:pPr>
    <w:rPr>
      <w:rFonts w:asciiTheme="majorHAnsi" w:eastAsiaTheme="majorEastAsia" w:hAnsiTheme="majorHAnsi" w:cstheme="majorBidi"/>
      <w:b/>
      <w:bCs/>
      <w:color w:val="276E8B" w:themeColor="accent1" w:themeShade="BF"/>
      <w:sz w:val="24"/>
      <w:szCs w:val="24"/>
    </w:rPr>
  </w:style>
  <w:style w:type="paragraph" w:styleId="Heading4">
    <w:name w:val="heading 4"/>
    <w:basedOn w:val="Normal"/>
    <w:next w:val="Normal"/>
    <w:link w:val="Heading4Char"/>
    <w:uiPriority w:val="9"/>
    <w:semiHidden/>
    <w:unhideWhenUsed/>
    <w:qFormat/>
    <w:rsid w:val="00F31BB7"/>
    <w:pPr>
      <w:keepNext/>
      <w:keepLines/>
      <w:spacing w:before="40" w:after="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F0C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F0CAB"/>
  </w:style>
  <w:style w:type="character" w:customStyle="1" w:styleId="eop">
    <w:name w:val="eop"/>
    <w:basedOn w:val="DefaultParagraphFont"/>
    <w:rsid w:val="00DF0CAB"/>
  </w:style>
  <w:style w:type="paragraph" w:styleId="BalloonText">
    <w:name w:val="Balloon Text"/>
    <w:basedOn w:val="Normal"/>
    <w:link w:val="BalloonTextChar"/>
    <w:uiPriority w:val="99"/>
    <w:semiHidden/>
    <w:unhideWhenUsed/>
    <w:rsid w:val="00967F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F36"/>
    <w:rPr>
      <w:rFonts w:ascii="Segoe UI" w:hAnsi="Segoe UI" w:cs="Segoe UI"/>
      <w:sz w:val="18"/>
      <w:szCs w:val="18"/>
    </w:rPr>
  </w:style>
  <w:style w:type="table" w:styleId="TableGrid">
    <w:name w:val="Table Grid"/>
    <w:basedOn w:val="TableNormal"/>
    <w:uiPriority w:val="39"/>
    <w:rsid w:val="0096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7F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36"/>
  </w:style>
  <w:style w:type="paragraph" w:styleId="Footer">
    <w:name w:val="footer"/>
    <w:basedOn w:val="Normal"/>
    <w:link w:val="FooterChar"/>
    <w:uiPriority w:val="99"/>
    <w:unhideWhenUsed/>
    <w:rsid w:val="00967F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36"/>
  </w:style>
  <w:style w:type="character" w:styleId="CommentReference">
    <w:name w:val="annotation reference"/>
    <w:basedOn w:val="DefaultParagraphFont"/>
    <w:uiPriority w:val="99"/>
    <w:semiHidden/>
    <w:unhideWhenUsed/>
    <w:rsid w:val="00967F36"/>
    <w:rPr>
      <w:sz w:val="16"/>
      <w:szCs w:val="16"/>
    </w:rPr>
  </w:style>
  <w:style w:type="paragraph" w:styleId="CommentText">
    <w:name w:val="annotation text"/>
    <w:basedOn w:val="Normal"/>
    <w:link w:val="CommentTextChar"/>
    <w:uiPriority w:val="99"/>
    <w:unhideWhenUsed/>
    <w:rsid w:val="00967F36"/>
    <w:pPr>
      <w:spacing w:line="240" w:lineRule="auto"/>
    </w:pPr>
    <w:rPr>
      <w:sz w:val="20"/>
      <w:szCs w:val="20"/>
    </w:rPr>
  </w:style>
  <w:style w:type="character" w:customStyle="1" w:styleId="CommentTextChar">
    <w:name w:val="Comment Text Char"/>
    <w:basedOn w:val="DefaultParagraphFont"/>
    <w:link w:val="CommentText"/>
    <w:uiPriority w:val="99"/>
    <w:rsid w:val="00967F36"/>
    <w:rPr>
      <w:sz w:val="20"/>
      <w:szCs w:val="20"/>
    </w:rPr>
  </w:style>
  <w:style w:type="paragraph" w:styleId="CommentSubject">
    <w:name w:val="annotation subject"/>
    <w:basedOn w:val="CommentText"/>
    <w:next w:val="CommentText"/>
    <w:link w:val="CommentSubjectChar"/>
    <w:uiPriority w:val="99"/>
    <w:semiHidden/>
    <w:unhideWhenUsed/>
    <w:rsid w:val="00967F36"/>
    <w:rPr>
      <w:b/>
      <w:bCs/>
    </w:rPr>
  </w:style>
  <w:style w:type="character" w:customStyle="1" w:styleId="CommentSubjectChar">
    <w:name w:val="Comment Subject Char"/>
    <w:basedOn w:val="CommentTextChar"/>
    <w:link w:val="CommentSubject"/>
    <w:uiPriority w:val="99"/>
    <w:semiHidden/>
    <w:rsid w:val="00967F36"/>
    <w:rPr>
      <w:b/>
      <w:bCs/>
      <w:sz w:val="20"/>
      <w:szCs w:val="20"/>
    </w:rPr>
  </w:style>
  <w:style w:type="paragraph" w:styleId="NoSpacing">
    <w:name w:val="No Spacing"/>
    <w:link w:val="NoSpacingChar"/>
    <w:uiPriority w:val="1"/>
    <w:qFormat/>
    <w:rsid w:val="00D17A5F"/>
    <w:pPr>
      <w:spacing w:after="0" w:line="240" w:lineRule="auto"/>
    </w:pPr>
    <w:rPr>
      <w:rFonts w:eastAsiaTheme="minorEastAsia"/>
    </w:rPr>
  </w:style>
  <w:style w:type="character" w:customStyle="1" w:styleId="NoSpacingChar">
    <w:name w:val="No Spacing Char"/>
    <w:basedOn w:val="DefaultParagraphFont"/>
    <w:link w:val="NoSpacing"/>
    <w:uiPriority w:val="1"/>
    <w:rsid w:val="00D17A5F"/>
    <w:rPr>
      <w:rFonts w:eastAsiaTheme="minorEastAsia"/>
    </w:rPr>
  </w:style>
  <w:style w:type="character" w:customStyle="1" w:styleId="Heading2Char">
    <w:name w:val="Heading 2 Char"/>
    <w:basedOn w:val="DefaultParagraphFont"/>
    <w:link w:val="Heading2"/>
    <w:uiPriority w:val="9"/>
    <w:rsid w:val="00206A9E"/>
    <w:rPr>
      <w:rFonts w:asciiTheme="majorHAnsi" w:eastAsiaTheme="majorEastAsia" w:hAnsiTheme="majorHAnsi" w:cstheme="majorBidi"/>
      <w:color w:val="276E8B" w:themeColor="accent1" w:themeShade="BF"/>
      <w:sz w:val="26"/>
      <w:szCs w:val="26"/>
    </w:rPr>
  </w:style>
  <w:style w:type="character" w:customStyle="1" w:styleId="Heading1Char">
    <w:name w:val="Heading 1 Char"/>
    <w:basedOn w:val="DefaultParagraphFont"/>
    <w:link w:val="Heading1"/>
    <w:uiPriority w:val="9"/>
    <w:rsid w:val="00206A9E"/>
    <w:rPr>
      <w:rFonts w:asciiTheme="majorHAnsi" w:eastAsiaTheme="majorEastAsia" w:hAnsiTheme="majorHAnsi" w:cstheme="majorBidi"/>
      <w:color w:val="276E8B" w:themeColor="accent1" w:themeShade="BF"/>
      <w:sz w:val="32"/>
      <w:szCs w:val="32"/>
    </w:rPr>
  </w:style>
  <w:style w:type="paragraph" w:styleId="FootnoteText">
    <w:name w:val="footnote text"/>
    <w:aliases w:val="Geneva 9,Font: Geneva 9,Boston 10,f,otnote Text,Footnote,ft,single space,footnote text,Footnote Text Char1,Footnote Text Char Char,Footnote Text Char1 Char Char,Footnote Text Char Char Char Char,Char Char Char Char Char,fn,A,Footnotes"/>
    <w:basedOn w:val="Normal"/>
    <w:link w:val="FootnoteTextChar"/>
    <w:uiPriority w:val="99"/>
    <w:unhideWhenUsed/>
    <w:qFormat/>
    <w:rsid w:val="00A23F64"/>
    <w:pPr>
      <w:spacing w:after="0" w:line="240" w:lineRule="auto"/>
    </w:pPr>
    <w:rPr>
      <w:sz w:val="20"/>
      <w:szCs w:val="20"/>
    </w:rPr>
  </w:style>
  <w:style w:type="character" w:customStyle="1" w:styleId="FootnoteTextChar">
    <w:name w:val="Footnote Text Char"/>
    <w:aliases w:val="Geneva 9 Char,Font: Geneva 9 Char,Boston 10 Char,f Char,otnote Text Char,Footnote Char,ft Char,single space Char,footnote text Char,Footnote Text Char1 Char,Footnote Text Char Char Char,Footnote Text Char1 Char Char Char,fn Char"/>
    <w:basedOn w:val="DefaultParagraphFont"/>
    <w:link w:val="FootnoteText"/>
    <w:uiPriority w:val="99"/>
    <w:qFormat/>
    <w:rsid w:val="00A23F64"/>
    <w:rPr>
      <w:sz w:val="20"/>
      <w:szCs w:val="20"/>
    </w:rPr>
  </w:style>
  <w:style w:type="character" w:styleId="FootnoteReference">
    <w:name w:val="footnote reference"/>
    <w:aliases w:val="16 Point,Superscript 6 Point,Superscript 6 Point + 11 pt,ftref,BVI fnr,BVI fnr Car Car,BVI fnr Car,BVI fnr Car Car Car Car,Footnote text,Footnote Reference Char Char Char, BVI fnr, BVI fnr Car Car, BVI fnr Car Car Car Car,fr,Ref,4"/>
    <w:basedOn w:val="DefaultParagraphFont"/>
    <w:link w:val="CharCharCharCharCarChar"/>
    <w:uiPriority w:val="99"/>
    <w:unhideWhenUsed/>
    <w:qFormat/>
    <w:rsid w:val="00A23F64"/>
    <w:rPr>
      <w:vertAlign w:val="superscript"/>
    </w:rPr>
  </w:style>
  <w:style w:type="character" w:styleId="Emphasis">
    <w:name w:val="Emphasis"/>
    <w:basedOn w:val="DefaultParagraphFont"/>
    <w:uiPriority w:val="20"/>
    <w:qFormat/>
    <w:rsid w:val="00C35BDA"/>
    <w:rPr>
      <w:i/>
      <w:iCs/>
    </w:rPr>
  </w:style>
  <w:style w:type="character" w:styleId="SubtleEmphasis">
    <w:name w:val="Subtle Emphasis"/>
    <w:basedOn w:val="DefaultParagraphFont"/>
    <w:uiPriority w:val="19"/>
    <w:qFormat/>
    <w:rsid w:val="00C35BDA"/>
    <w:rPr>
      <w:i/>
      <w:iCs/>
      <w:color w:val="404040" w:themeColor="text1" w:themeTint="BF"/>
    </w:rPr>
  </w:style>
  <w:style w:type="paragraph" w:styleId="Quote">
    <w:name w:val="Quote"/>
    <w:basedOn w:val="Normal"/>
    <w:next w:val="Normal"/>
    <w:link w:val="QuoteChar"/>
    <w:uiPriority w:val="29"/>
    <w:qFormat/>
    <w:rsid w:val="008D0546"/>
    <w:pPr>
      <w:spacing w:before="200"/>
      <w:ind w:left="864" w:right="864"/>
      <w:jc w:val="center"/>
    </w:pPr>
    <w:rPr>
      <w:i/>
      <w:iCs/>
      <w:color w:val="404040" w:themeColor="text1" w:themeTint="BF"/>
      <w:sz w:val="18"/>
    </w:rPr>
  </w:style>
  <w:style w:type="character" w:customStyle="1" w:styleId="QuoteChar">
    <w:name w:val="Quote Char"/>
    <w:basedOn w:val="DefaultParagraphFont"/>
    <w:link w:val="Quote"/>
    <w:uiPriority w:val="29"/>
    <w:rsid w:val="008D0546"/>
    <w:rPr>
      <w:i/>
      <w:iCs/>
      <w:color w:val="404040" w:themeColor="text1" w:themeTint="BF"/>
      <w:sz w:val="18"/>
    </w:rPr>
  </w:style>
  <w:style w:type="paragraph" w:styleId="TOCHeading">
    <w:name w:val="TOC Heading"/>
    <w:basedOn w:val="Heading1"/>
    <w:next w:val="Normal"/>
    <w:uiPriority w:val="39"/>
    <w:unhideWhenUsed/>
    <w:qFormat/>
    <w:rsid w:val="00A35EC4"/>
    <w:pPr>
      <w:outlineLvl w:val="9"/>
    </w:pPr>
  </w:style>
  <w:style w:type="paragraph" w:styleId="TOC2">
    <w:name w:val="toc 2"/>
    <w:basedOn w:val="Normal"/>
    <w:next w:val="Normal"/>
    <w:autoRedefine/>
    <w:uiPriority w:val="39"/>
    <w:unhideWhenUsed/>
    <w:rsid w:val="00A35EC4"/>
    <w:pPr>
      <w:spacing w:after="100"/>
      <w:ind w:left="220"/>
    </w:pPr>
  </w:style>
  <w:style w:type="character" w:styleId="Hyperlink">
    <w:name w:val="Hyperlink"/>
    <w:basedOn w:val="DefaultParagraphFont"/>
    <w:uiPriority w:val="99"/>
    <w:unhideWhenUsed/>
    <w:rsid w:val="00A35EC4"/>
    <w:rPr>
      <w:color w:val="6B9F25" w:themeColor="hyperlink"/>
      <w:u w:val="single"/>
    </w:rPr>
  </w:style>
  <w:style w:type="character" w:customStyle="1" w:styleId="Heading3Char">
    <w:name w:val="Heading 3 Char"/>
    <w:basedOn w:val="DefaultParagraphFont"/>
    <w:link w:val="Heading3"/>
    <w:uiPriority w:val="9"/>
    <w:rsid w:val="001A76A4"/>
    <w:rPr>
      <w:rFonts w:asciiTheme="majorHAnsi" w:eastAsiaTheme="majorEastAsia" w:hAnsiTheme="majorHAnsi" w:cstheme="majorBidi"/>
      <w:b/>
      <w:bCs/>
      <w:color w:val="276E8B" w:themeColor="accent1" w:themeShade="BF"/>
      <w:sz w:val="24"/>
      <w:szCs w:val="24"/>
    </w:rPr>
  </w:style>
  <w:style w:type="paragraph" w:styleId="TOC3">
    <w:name w:val="toc 3"/>
    <w:basedOn w:val="Normal"/>
    <w:next w:val="Normal"/>
    <w:autoRedefine/>
    <w:uiPriority w:val="39"/>
    <w:unhideWhenUsed/>
    <w:rsid w:val="00DD429D"/>
    <w:pPr>
      <w:spacing w:after="100"/>
      <w:ind w:left="440"/>
    </w:pPr>
  </w:style>
  <w:style w:type="paragraph" w:styleId="TOC1">
    <w:name w:val="toc 1"/>
    <w:basedOn w:val="Normal"/>
    <w:next w:val="Normal"/>
    <w:autoRedefine/>
    <w:uiPriority w:val="39"/>
    <w:unhideWhenUsed/>
    <w:rsid w:val="00DD429D"/>
    <w:pPr>
      <w:spacing w:after="100"/>
    </w:pPr>
  </w:style>
  <w:style w:type="paragraph" w:styleId="ListParagraph">
    <w:name w:val="List Paragraph"/>
    <w:aliases w:val="Numbered Paragraph,Main numbered paragraph,References,Numbered List Paragraph,123 List Paragraph,Bullets,List Paragraph (numbered (a)),List Paragraph nowy,Liste 1,List_Paragraph,Multilevel para_II,List Paragraph1,Lapis Bulleted List,Dot p"/>
    <w:basedOn w:val="Normal"/>
    <w:link w:val="ListParagraphChar"/>
    <w:uiPriority w:val="99"/>
    <w:qFormat/>
    <w:rsid w:val="00D80921"/>
    <w:pPr>
      <w:ind w:left="720"/>
      <w:contextualSpacing/>
    </w:pPr>
  </w:style>
  <w:style w:type="numbering" w:customStyle="1" w:styleId="Style1">
    <w:name w:val="Style1"/>
    <w:uiPriority w:val="99"/>
    <w:rsid w:val="00E62B68"/>
    <w:pPr>
      <w:numPr>
        <w:numId w:val="1"/>
      </w:numPr>
    </w:pPr>
  </w:style>
  <w:style w:type="character" w:styleId="Strong">
    <w:name w:val="Strong"/>
    <w:basedOn w:val="DefaultParagraphFont"/>
    <w:uiPriority w:val="22"/>
    <w:qFormat/>
    <w:rsid w:val="00FB3362"/>
    <w:rPr>
      <w:b/>
      <w:bCs/>
    </w:rPr>
  </w:style>
  <w:style w:type="character" w:styleId="SubtleReference">
    <w:name w:val="Subtle Reference"/>
    <w:basedOn w:val="DefaultParagraphFont"/>
    <w:uiPriority w:val="31"/>
    <w:qFormat/>
    <w:rsid w:val="00025D3B"/>
    <w:rPr>
      <w:smallCaps/>
      <w:color w:val="5A5A5A" w:themeColor="text1" w:themeTint="A5"/>
    </w:rPr>
  </w:style>
  <w:style w:type="paragraph" w:styleId="TOC4">
    <w:name w:val="toc 4"/>
    <w:basedOn w:val="Normal"/>
    <w:next w:val="Normal"/>
    <w:autoRedefine/>
    <w:uiPriority w:val="39"/>
    <w:unhideWhenUsed/>
    <w:rsid w:val="001C763D"/>
    <w:pPr>
      <w:spacing w:after="100"/>
      <w:ind w:left="660"/>
    </w:pPr>
  </w:style>
  <w:style w:type="character" w:styleId="PageNumber">
    <w:name w:val="page number"/>
    <w:basedOn w:val="DefaultParagraphFont"/>
    <w:uiPriority w:val="99"/>
    <w:semiHidden/>
    <w:unhideWhenUsed/>
    <w:rsid w:val="00AF446E"/>
  </w:style>
  <w:style w:type="table" w:customStyle="1" w:styleId="TableGrid2">
    <w:name w:val="Table Grid2"/>
    <w:basedOn w:val="TableNormal"/>
    <w:next w:val="TableGrid"/>
    <w:uiPriority w:val="39"/>
    <w:rsid w:val="0048348F"/>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F437D"/>
    <w:rPr>
      <w:color w:val="605E5C"/>
      <w:shd w:val="clear" w:color="auto" w:fill="E1DFDD"/>
    </w:rPr>
  </w:style>
  <w:style w:type="character" w:styleId="FollowedHyperlink">
    <w:name w:val="FollowedHyperlink"/>
    <w:basedOn w:val="DefaultParagraphFont"/>
    <w:uiPriority w:val="99"/>
    <w:semiHidden/>
    <w:unhideWhenUsed/>
    <w:rsid w:val="00F31BB7"/>
    <w:rPr>
      <w:color w:val="9F6715" w:themeColor="followedHyperlink"/>
      <w:u w:val="single"/>
    </w:rPr>
  </w:style>
  <w:style w:type="character" w:customStyle="1" w:styleId="Heading4Char">
    <w:name w:val="Heading 4 Char"/>
    <w:basedOn w:val="DefaultParagraphFont"/>
    <w:link w:val="Heading4"/>
    <w:uiPriority w:val="9"/>
    <w:semiHidden/>
    <w:rsid w:val="00F31BB7"/>
    <w:rPr>
      <w:rFonts w:asciiTheme="majorHAnsi" w:eastAsiaTheme="majorEastAsia" w:hAnsiTheme="majorHAnsi" w:cstheme="majorBidi"/>
      <w:i/>
      <w:iCs/>
      <w:color w:val="276E8B" w:themeColor="accent1" w:themeShade="BF"/>
    </w:rPr>
  </w:style>
  <w:style w:type="character" w:customStyle="1" w:styleId="ListParagraphChar">
    <w:name w:val="List Paragraph Char"/>
    <w:aliases w:val="Numbered Paragraph Char,Main numbered paragraph Char,References Char,Numbered List Paragraph Char,123 List Paragraph Char,Bullets Char,List Paragraph (numbered (a)) Char,List Paragraph nowy Char,Liste 1 Char,List_Paragraph Char"/>
    <w:basedOn w:val="DefaultParagraphFont"/>
    <w:link w:val="ListParagraph"/>
    <w:uiPriority w:val="99"/>
    <w:qFormat/>
    <w:rsid w:val="00F31BB7"/>
  </w:style>
  <w:style w:type="table" w:styleId="GridTable4-Accent1">
    <w:name w:val="Grid Table 4 Accent 1"/>
    <w:basedOn w:val="TableNormal"/>
    <w:uiPriority w:val="49"/>
    <w:rsid w:val="00F97840"/>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3-Accent2">
    <w:name w:val="List Table 3 Accent 2"/>
    <w:basedOn w:val="TableNormal"/>
    <w:uiPriority w:val="48"/>
    <w:rsid w:val="00F97840"/>
    <w:pPr>
      <w:spacing w:after="0" w:line="240" w:lineRule="auto"/>
    </w:pPr>
    <w:tblPr>
      <w:tblStyleRowBandSize w:val="1"/>
      <w:tblStyleColBandSize w:val="1"/>
      <w:tblBorders>
        <w:top w:val="single" w:sz="4" w:space="0" w:color="58B6C0" w:themeColor="accent2"/>
        <w:left w:val="single" w:sz="4" w:space="0" w:color="58B6C0" w:themeColor="accent2"/>
        <w:bottom w:val="single" w:sz="4" w:space="0" w:color="58B6C0" w:themeColor="accent2"/>
        <w:right w:val="single" w:sz="4" w:space="0" w:color="58B6C0" w:themeColor="accent2"/>
      </w:tblBorders>
    </w:tblPr>
    <w:tblStylePr w:type="firstRow">
      <w:rPr>
        <w:b/>
        <w:bCs/>
        <w:color w:val="FFFFFF" w:themeColor="background1"/>
      </w:rPr>
      <w:tblPr/>
      <w:tcPr>
        <w:shd w:val="clear" w:color="auto" w:fill="58B6C0" w:themeFill="accent2"/>
      </w:tcPr>
    </w:tblStylePr>
    <w:tblStylePr w:type="lastRow">
      <w:rPr>
        <w:b/>
        <w:bCs/>
      </w:rPr>
      <w:tblPr/>
      <w:tcPr>
        <w:tcBorders>
          <w:top w:val="double" w:sz="4" w:space="0" w:color="58B6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B6C0" w:themeColor="accent2"/>
          <w:right w:val="single" w:sz="4" w:space="0" w:color="58B6C0" w:themeColor="accent2"/>
        </w:tcBorders>
      </w:tcPr>
    </w:tblStylePr>
    <w:tblStylePr w:type="band1Horz">
      <w:tblPr/>
      <w:tcPr>
        <w:tcBorders>
          <w:top w:val="single" w:sz="4" w:space="0" w:color="58B6C0" w:themeColor="accent2"/>
          <w:bottom w:val="single" w:sz="4" w:space="0" w:color="58B6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B6C0" w:themeColor="accent2"/>
          <w:left w:val="nil"/>
        </w:tcBorders>
      </w:tcPr>
    </w:tblStylePr>
    <w:tblStylePr w:type="swCell">
      <w:tblPr/>
      <w:tcPr>
        <w:tcBorders>
          <w:top w:val="double" w:sz="4" w:space="0" w:color="58B6C0" w:themeColor="accent2"/>
          <w:right w:val="nil"/>
        </w:tcBorders>
      </w:tcPr>
    </w:tblStylePr>
  </w:style>
  <w:style w:type="table" w:styleId="ListTable3-Accent1">
    <w:name w:val="List Table 3 Accent 1"/>
    <w:basedOn w:val="TableNormal"/>
    <w:uiPriority w:val="48"/>
    <w:rsid w:val="00F97840"/>
    <w:pPr>
      <w:spacing w:after="0" w:line="240" w:lineRule="auto"/>
    </w:pPr>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character" w:styleId="PlaceholderText">
    <w:name w:val="Placeholder Text"/>
    <w:basedOn w:val="DefaultParagraphFont"/>
    <w:uiPriority w:val="99"/>
    <w:semiHidden/>
    <w:rsid w:val="003C6968"/>
    <w:rPr>
      <w:color w:val="808080"/>
    </w:rPr>
  </w:style>
  <w:style w:type="character" w:customStyle="1" w:styleId="DefaultText">
    <w:name w:val="Default Text"/>
    <w:basedOn w:val="DefaultParagraphFont"/>
    <w:uiPriority w:val="1"/>
    <w:qFormat/>
    <w:rsid w:val="00653A4E"/>
    <w:rPr>
      <w:rFonts w:cstheme="minorHAnsi"/>
      <w:color w:val="808080" w:themeColor="background1" w:themeShade="80"/>
      <w:sz w:val="20"/>
      <w:szCs w:val="20"/>
    </w:rPr>
  </w:style>
  <w:style w:type="character" w:styleId="IntenseReference">
    <w:name w:val="Intense Reference"/>
    <w:basedOn w:val="DefaultParagraphFont"/>
    <w:uiPriority w:val="32"/>
    <w:qFormat/>
    <w:rsid w:val="00DE58F2"/>
    <w:rPr>
      <w:b/>
      <w:bCs/>
      <w:smallCaps/>
      <w:color w:val="3494BA" w:themeColor="accent1"/>
      <w:spacing w:val="5"/>
    </w:rPr>
  </w:style>
  <w:style w:type="character" w:styleId="Mention">
    <w:name w:val="Mention"/>
    <w:basedOn w:val="DefaultParagraphFont"/>
    <w:uiPriority w:val="99"/>
    <w:unhideWhenUsed/>
    <w:rsid w:val="00A85E5D"/>
    <w:rPr>
      <w:color w:val="2B579A"/>
      <w:shd w:val="clear" w:color="auto" w:fill="E1DFDD"/>
    </w:rPr>
  </w:style>
  <w:style w:type="paragraph" w:styleId="Revision">
    <w:name w:val="Revision"/>
    <w:hidden/>
    <w:uiPriority w:val="99"/>
    <w:semiHidden/>
    <w:rsid w:val="00043686"/>
    <w:pPr>
      <w:spacing w:after="0" w:line="240" w:lineRule="auto"/>
    </w:pPr>
  </w:style>
  <w:style w:type="paragraph" w:styleId="Date">
    <w:name w:val="Date"/>
    <w:basedOn w:val="Normal"/>
    <w:next w:val="Normal"/>
    <w:link w:val="DateChar"/>
    <w:uiPriority w:val="99"/>
    <w:semiHidden/>
    <w:unhideWhenUsed/>
    <w:rsid w:val="009F5065"/>
  </w:style>
  <w:style w:type="character" w:customStyle="1" w:styleId="DateChar">
    <w:name w:val="Date Char"/>
    <w:basedOn w:val="DefaultParagraphFont"/>
    <w:link w:val="Date"/>
    <w:uiPriority w:val="99"/>
    <w:semiHidden/>
    <w:rsid w:val="009F5065"/>
  </w:style>
  <w:style w:type="character" w:customStyle="1" w:styleId="cf01">
    <w:name w:val="cf01"/>
    <w:basedOn w:val="DefaultParagraphFont"/>
    <w:rsid w:val="00A12F81"/>
    <w:rPr>
      <w:rFonts w:ascii="Segoe UI" w:hAnsi="Segoe UI" w:cs="Segoe UI" w:hint="default"/>
      <w:sz w:val="18"/>
      <w:szCs w:val="18"/>
    </w:rPr>
  </w:style>
  <w:style w:type="paragraph" w:customStyle="1" w:styleId="Default">
    <w:name w:val="Default"/>
    <w:rsid w:val="00240DF6"/>
    <w:pPr>
      <w:autoSpaceDE w:val="0"/>
      <w:autoSpaceDN w:val="0"/>
      <w:adjustRightInd w:val="0"/>
      <w:spacing w:after="0" w:line="240" w:lineRule="auto"/>
    </w:pPr>
    <w:rPr>
      <w:rFonts w:ascii="Times New Roman" w:eastAsia="Batang" w:hAnsi="Times New Roman" w:cs="Times New Roman"/>
      <w:color w:val="000000"/>
      <w:sz w:val="24"/>
      <w:szCs w:val="24"/>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50B00"/>
    <w:pPr>
      <w:spacing w:line="240" w:lineRule="exact"/>
      <w:ind w:left="720" w:hanging="720"/>
      <w:jc w:val="both"/>
    </w:pPr>
    <w:rPr>
      <w:vertAlign w:val="superscript"/>
    </w:rPr>
  </w:style>
  <w:style w:type="paragraph" w:styleId="NormalWeb">
    <w:name w:val="Normal (Web)"/>
    <w:basedOn w:val="Normal"/>
    <w:uiPriority w:val="99"/>
    <w:unhideWhenUsed/>
    <w:rsid w:val="002F275F"/>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TableParagraph">
    <w:name w:val="Table Paragraph"/>
    <w:basedOn w:val="Normal"/>
    <w:uiPriority w:val="1"/>
    <w:qFormat/>
    <w:rsid w:val="00A1760A"/>
    <w:pPr>
      <w:widowControl w:val="0"/>
      <w:autoSpaceDE w:val="0"/>
      <w:autoSpaceDN w:val="0"/>
      <w:spacing w:after="0" w:line="240" w:lineRule="auto"/>
    </w:pPr>
    <w:rPr>
      <w:rFonts w:ascii="Arial MT" w:eastAsia="Arial MT" w:hAnsi="Arial MT" w:cs="Arial MT"/>
    </w:rPr>
  </w:style>
  <w:style w:type="paragraph" w:customStyle="1" w:styleId="ParrInforme">
    <w:name w:val="Parr_Informe"/>
    <w:basedOn w:val="Normal"/>
    <w:link w:val="ParrInformeCar"/>
    <w:rsid w:val="009D0C2B"/>
    <w:pPr>
      <w:keepNext/>
      <w:spacing w:after="120" w:line="288" w:lineRule="auto"/>
    </w:pPr>
    <w:rPr>
      <w:rFonts w:ascii="Calibri" w:eastAsia="Times New Roman" w:hAnsi="Calibri" w:cs="Times New Roman"/>
    </w:rPr>
  </w:style>
  <w:style w:type="character" w:customStyle="1" w:styleId="ParrInformeCar">
    <w:name w:val="Parr_Informe Car"/>
    <w:basedOn w:val="DefaultParagraphFont"/>
    <w:link w:val="ParrInforme"/>
    <w:rsid w:val="009D0C2B"/>
    <w:rPr>
      <w:rFonts w:ascii="Calibri" w:eastAsia="Times New Roman" w:hAnsi="Calibri" w:cs="Times New Roman"/>
    </w:rPr>
  </w:style>
  <w:style w:type="character" w:customStyle="1" w:styleId="ezkurwreuab5ozgtqnkl">
    <w:name w:val="ezkurwreuab5ozgtqnkl"/>
    <w:basedOn w:val="DefaultParagraphFont"/>
    <w:rsid w:val="00656A20"/>
  </w:style>
  <w:style w:type="character" w:customStyle="1" w:styleId="overflow-hidden">
    <w:name w:val="overflow-hidden"/>
    <w:basedOn w:val="DefaultParagraphFont"/>
    <w:rsid w:val="002F2E92"/>
  </w:style>
  <w:style w:type="paragraph" w:customStyle="1" w:styleId="Char2">
    <w:name w:val="Char2"/>
    <w:basedOn w:val="Normal"/>
    <w:uiPriority w:val="99"/>
    <w:qFormat/>
    <w:rsid w:val="00553691"/>
    <w:pPr>
      <w:spacing w:line="240" w:lineRule="exact"/>
      <w:jc w:val="center"/>
    </w:pPr>
    <w:rPr>
      <w:rFonts w:ascii="Arial" w:eastAsia="Arial" w:hAnsi="Arial" w:cs="Arial"/>
      <w:vertAlign w:val="superscript"/>
      <w:lang w:val="ru"/>
    </w:rPr>
  </w:style>
  <w:style w:type="character" w:customStyle="1" w:styleId="superscript">
    <w:name w:val="superscript"/>
    <w:basedOn w:val="DefaultParagraphFont"/>
    <w:rsid w:val="00A97B02"/>
  </w:style>
  <w:style w:type="paragraph" w:customStyle="1" w:styleId="p1">
    <w:name w:val="p1"/>
    <w:basedOn w:val="Normal"/>
    <w:rsid w:val="00B71F1D"/>
    <w:pPr>
      <w:spacing w:after="0" w:line="240" w:lineRule="auto"/>
    </w:pPr>
    <w:rPr>
      <w:rFonts w:ascii=".AppleSystemUIFont" w:eastAsia="Times New Roman" w:hAnsi=".AppleSystemUIFont" w:cs="Times New Roman"/>
      <w:color w:val="0E0E0E"/>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2882">
      <w:bodyDiv w:val="1"/>
      <w:marLeft w:val="0"/>
      <w:marRight w:val="0"/>
      <w:marTop w:val="0"/>
      <w:marBottom w:val="0"/>
      <w:divBdr>
        <w:top w:val="none" w:sz="0" w:space="0" w:color="auto"/>
        <w:left w:val="none" w:sz="0" w:space="0" w:color="auto"/>
        <w:bottom w:val="none" w:sz="0" w:space="0" w:color="auto"/>
        <w:right w:val="none" w:sz="0" w:space="0" w:color="auto"/>
      </w:divBdr>
    </w:div>
    <w:div w:id="69739340">
      <w:bodyDiv w:val="1"/>
      <w:marLeft w:val="0"/>
      <w:marRight w:val="0"/>
      <w:marTop w:val="0"/>
      <w:marBottom w:val="0"/>
      <w:divBdr>
        <w:top w:val="none" w:sz="0" w:space="0" w:color="auto"/>
        <w:left w:val="none" w:sz="0" w:space="0" w:color="auto"/>
        <w:bottom w:val="none" w:sz="0" w:space="0" w:color="auto"/>
        <w:right w:val="none" w:sz="0" w:space="0" w:color="auto"/>
      </w:divBdr>
    </w:div>
    <w:div w:id="184484213">
      <w:bodyDiv w:val="1"/>
      <w:marLeft w:val="0"/>
      <w:marRight w:val="0"/>
      <w:marTop w:val="0"/>
      <w:marBottom w:val="0"/>
      <w:divBdr>
        <w:top w:val="none" w:sz="0" w:space="0" w:color="auto"/>
        <w:left w:val="none" w:sz="0" w:space="0" w:color="auto"/>
        <w:bottom w:val="none" w:sz="0" w:space="0" w:color="auto"/>
        <w:right w:val="none" w:sz="0" w:space="0" w:color="auto"/>
      </w:divBdr>
    </w:div>
    <w:div w:id="196742704">
      <w:bodyDiv w:val="1"/>
      <w:marLeft w:val="0"/>
      <w:marRight w:val="0"/>
      <w:marTop w:val="0"/>
      <w:marBottom w:val="0"/>
      <w:divBdr>
        <w:top w:val="none" w:sz="0" w:space="0" w:color="auto"/>
        <w:left w:val="none" w:sz="0" w:space="0" w:color="auto"/>
        <w:bottom w:val="none" w:sz="0" w:space="0" w:color="auto"/>
        <w:right w:val="none" w:sz="0" w:space="0" w:color="auto"/>
      </w:divBdr>
    </w:div>
    <w:div w:id="208108878">
      <w:bodyDiv w:val="1"/>
      <w:marLeft w:val="0"/>
      <w:marRight w:val="0"/>
      <w:marTop w:val="0"/>
      <w:marBottom w:val="0"/>
      <w:divBdr>
        <w:top w:val="none" w:sz="0" w:space="0" w:color="auto"/>
        <w:left w:val="none" w:sz="0" w:space="0" w:color="auto"/>
        <w:bottom w:val="none" w:sz="0" w:space="0" w:color="auto"/>
        <w:right w:val="none" w:sz="0" w:space="0" w:color="auto"/>
      </w:divBdr>
    </w:div>
    <w:div w:id="228921983">
      <w:bodyDiv w:val="1"/>
      <w:marLeft w:val="0"/>
      <w:marRight w:val="0"/>
      <w:marTop w:val="0"/>
      <w:marBottom w:val="0"/>
      <w:divBdr>
        <w:top w:val="none" w:sz="0" w:space="0" w:color="auto"/>
        <w:left w:val="none" w:sz="0" w:space="0" w:color="auto"/>
        <w:bottom w:val="none" w:sz="0" w:space="0" w:color="auto"/>
        <w:right w:val="none" w:sz="0" w:space="0" w:color="auto"/>
      </w:divBdr>
    </w:div>
    <w:div w:id="298656836">
      <w:bodyDiv w:val="1"/>
      <w:marLeft w:val="0"/>
      <w:marRight w:val="0"/>
      <w:marTop w:val="0"/>
      <w:marBottom w:val="0"/>
      <w:divBdr>
        <w:top w:val="none" w:sz="0" w:space="0" w:color="auto"/>
        <w:left w:val="none" w:sz="0" w:space="0" w:color="auto"/>
        <w:bottom w:val="none" w:sz="0" w:space="0" w:color="auto"/>
        <w:right w:val="none" w:sz="0" w:space="0" w:color="auto"/>
      </w:divBdr>
      <w:divsChild>
        <w:div w:id="94443175">
          <w:marLeft w:val="0"/>
          <w:marRight w:val="0"/>
          <w:marTop w:val="0"/>
          <w:marBottom w:val="0"/>
          <w:divBdr>
            <w:top w:val="none" w:sz="0" w:space="0" w:color="auto"/>
            <w:left w:val="none" w:sz="0" w:space="0" w:color="auto"/>
            <w:bottom w:val="none" w:sz="0" w:space="0" w:color="auto"/>
            <w:right w:val="none" w:sz="0" w:space="0" w:color="auto"/>
          </w:divBdr>
        </w:div>
        <w:div w:id="309329994">
          <w:marLeft w:val="0"/>
          <w:marRight w:val="0"/>
          <w:marTop w:val="0"/>
          <w:marBottom w:val="0"/>
          <w:divBdr>
            <w:top w:val="none" w:sz="0" w:space="0" w:color="auto"/>
            <w:left w:val="none" w:sz="0" w:space="0" w:color="auto"/>
            <w:bottom w:val="none" w:sz="0" w:space="0" w:color="auto"/>
            <w:right w:val="none" w:sz="0" w:space="0" w:color="auto"/>
          </w:divBdr>
        </w:div>
        <w:div w:id="2059864432">
          <w:marLeft w:val="0"/>
          <w:marRight w:val="0"/>
          <w:marTop w:val="0"/>
          <w:marBottom w:val="0"/>
          <w:divBdr>
            <w:top w:val="none" w:sz="0" w:space="0" w:color="auto"/>
            <w:left w:val="none" w:sz="0" w:space="0" w:color="auto"/>
            <w:bottom w:val="none" w:sz="0" w:space="0" w:color="auto"/>
            <w:right w:val="none" w:sz="0" w:space="0" w:color="auto"/>
          </w:divBdr>
        </w:div>
      </w:divsChild>
    </w:div>
    <w:div w:id="324358362">
      <w:bodyDiv w:val="1"/>
      <w:marLeft w:val="0"/>
      <w:marRight w:val="0"/>
      <w:marTop w:val="0"/>
      <w:marBottom w:val="0"/>
      <w:divBdr>
        <w:top w:val="none" w:sz="0" w:space="0" w:color="auto"/>
        <w:left w:val="none" w:sz="0" w:space="0" w:color="auto"/>
        <w:bottom w:val="none" w:sz="0" w:space="0" w:color="auto"/>
        <w:right w:val="none" w:sz="0" w:space="0" w:color="auto"/>
      </w:divBdr>
    </w:div>
    <w:div w:id="330790431">
      <w:bodyDiv w:val="1"/>
      <w:marLeft w:val="0"/>
      <w:marRight w:val="0"/>
      <w:marTop w:val="0"/>
      <w:marBottom w:val="0"/>
      <w:divBdr>
        <w:top w:val="none" w:sz="0" w:space="0" w:color="auto"/>
        <w:left w:val="none" w:sz="0" w:space="0" w:color="auto"/>
        <w:bottom w:val="none" w:sz="0" w:space="0" w:color="auto"/>
        <w:right w:val="none" w:sz="0" w:space="0" w:color="auto"/>
      </w:divBdr>
    </w:div>
    <w:div w:id="330792445">
      <w:bodyDiv w:val="1"/>
      <w:marLeft w:val="0"/>
      <w:marRight w:val="0"/>
      <w:marTop w:val="0"/>
      <w:marBottom w:val="0"/>
      <w:divBdr>
        <w:top w:val="none" w:sz="0" w:space="0" w:color="auto"/>
        <w:left w:val="none" w:sz="0" w:space="0" w:color="auto"/>
        <w:bottom w:val="none" w:sz="0" w:space="0" w:color="auto"/>
        <w:right w:val="none" w:sz="0" w:space="0" w:color="auto"/>
      </w:divBdr>
      <w:divsChild>
        <w:div w:id="1156217868">
          <w:marLeft w:val="547"/>
          <w:marRight w:val="0"/>
          <w:marTop w:val="0"/>
          <w:marBottom w:val="0"/>
          <w:divBdr>
            <w:top w:val="none" w:sz="0" w:space="0" w:color="auto"/>
            <w:left w:val="none" w:sz="0" w:space="0" w:color="auto"/>
            <w:bottom w:val="none" w:sz="0" w:space="0" w:color="auto"/>
            <w:right w:val="none" w:sz="0" w:space="0" w:color="auto"/>
          </w:divBdr>
        </w:div>
      </w:divsChild>
    </w:div>
    <w:div w:id="378936369">
      <w:bodyDiv w:val="1"/>
      <w:marLeft w:val="0"/>
      <w:marRight w:val="0"/>
      <w:marTop w:val="0"/>
      <w:marBottom w:val="0"/>
      <w:divBdr>
        <w:top w:val="none" w:sz="0" w:space="0" w:color="auto"/>
        <w:left w:val="none" w:sz="0" w:space="0" w:color="auto"/>
        <w:bottom w:val="none" w:sz="0" w:space="0" w:color="auto"/>
        <w:right w:val="none" w:sz="0" w:space="0" w:color="auto"/>
      </w:divBdr>
      <w:divsChild>
        <w:div w:id="24671423">
          <w:marLeft w:val="0"/>
          <w:marRight w:val="0"/>
          <w:marTop w:val="0"/>
          <w:marBottom w:val="0"/>
          <w:divBdr>
            <w:top w:val="none" w:sz="0" w:space="0" w:color="auto"/>
            <w:left w:val="none" w:sz="0" w:space="0" w:color="auto"/>
            <w:bottom w:val="none" w:sz="0" w:space="0" w:color="auto"/>
            <w:right w:val="none" w:sz="0" w:space="0" w:color="auto"/>
          </w:divBdr>
          <w:divsChild>
            <w:div w:id="1756976774">
              <w:marLeft w:val="0"/>
              <w:marRight w:val="0"/>
              <w:marTop w:val="0"/>
              <w:marBottom w:val="0"/>
              <w:divBdr>
                <w:top w:val="none" w:sz="0" w:space="0" w:color="auto"/>
                <w:left w:val="none" w:sz="0" w:space="0" w:color="auto"/>
                <w:bottom w:val="none" w:sz="0" w:space="0" w:color="auto"/>
                <w:right w:val="none" w:sz="0" w:space="0" w:color="auto"/>
              </w:divBdr>
            </w:div>
          </w:divsChild>
        </w:div>
        <w:div w:id="24916010">
          <w:marLeft w:val="0"/>
          <w:marRight w:val="0"/>
          <w:marTop w:val="0"/>
          <w:marBottom w:val="0"/>
          <w:divBdr>
            <w:top w:val="none" w:sz="0" w:space="0" w:color="auto"/>
            <w:left w:val="none" w:sz="0" w:space="0" w:color="auto"/>
            <w:bottom w:val="none" w:sz="0" w:space="0" w:color="auto"/>
            <w:right w:val="none" w:sz="0" w:space="0" w:color="auto"/>
          </w:divBdr>
          <w:divsChild>
            <w:div w:id="513497651">
              <w:marLeft w:val="0"/>
              <w:marRight w:val="0"/>
              <w:marTop w:val="0"/>
              <w:marBottom w:val="0"/>
              <w:divBdr>
                <w:top w:val="none" w:sz="0" w:space="0" w:color="auto"/>
                <w:left w:val="none" w:sz="0" w:space="0" w:color="auto"/>
                <w:bottom w:val="none" w:sz="0" w:space="0" w:color="auto"/>
                <w:right w:val="none" w:sz="0" w:space="0" w:color="auto"/>
              </w:divBdr>
            </w:div>
          </w:divsChild>
        </w:div>
        <w:div w:id="31154691">
          <w:marLeft w:val="0"/>
          <w:marRight w:val="0"/>
          <w:marTop w:val="0"/>
          <w:marBottom w:val="0"/>
          <w:divBdr>
            <w:top w:val="none" w:sz="0" w:space="0" w:color="auto"/>
            <w:left w:val="none" w:sz="0" w:space="0" w:color="auto"/>
            <w:bottom w:val="none" w:sz="0" w:space="0" w:color="auto"/>
            <w:right w:val="none" w:sz="0" w:space="0" w:color="auto"/>
          </w:divBdr>
          <w:divsChild>
            <w:div w:id="2071420457">
              <w:marLeft w:val="0"/>
              <w:marRight w:val="0"/>
              <w:marTop w:val="0"/>
              <w:marBottom w:val="0"/>
              <w:divBdr>
                <w:top w:val="none" w:sz="0" w:space="0" w:color="auto"/>
                <w:left w:val="none" w:sz="0" w:space="0" w:color="auto"/>
                <w:bottom w:val="none" w:sz="0" w:space="0" w:color="auto"/>
                <w:right w:val="none" w:sz="0" w:space="0" w:color="auto"/>
              </w:divBdr>
            </w:div>
          </w:divsChild>
        </w:div>
        <w:div w:id="34932382">
          <w:marLeft w:val="0"/>
          <w:marRight w:val="0"/>
          <w:marTop w:val="0"/>
          <w:marBottom w:val="0"/>
          <w:divBdr>
            <w:top w:val="none" w:sz="0" w:space="0" w:color="auto"/>
            <w:left w:val="none" w:sz="0" w:space="0" w:color="auto"/>
            <w:bottom w:val="none" w:sz="0" w:space="0" w:color="auto"/>
            <w:right w:val="none" w:sz="0" w:space="0" w:color="auto"/>
          </w:divBdr>
          <w:divsChild>
            <w:div w:id="2013297002">
              <w:marLeft w:val="0"/>
              <w:marRight w:val="0"/>
              <w:marTop w:val="0"/>
              <w:marBottom w:val="0"/>
              <w:divBdr>
                <w:top w:val="none" w:sz="0" w:space="0" w:color="auto"/>
                <w:left w:val="none" w:sz="0" w:space="0" w:color="auto"/>
                <w:bottom w:val="none" w:sz="0" w:space="0" w:color="auto"/>
                <w:right w:val="none" w:sz="0" w:space="0" w:color="auto"/>
              </w:divBdr>
            </w:div>
          </w:divsChild>
        </w:div>
        <w:div w:id="39328031">
          <w:marLeft w:val="0"/>
          <w:marRight w:val="0"/>
          <w:marTop w:val="0"/>
          <w:marBottom w:val="0"/>
          <w:divBdr>
            <w:top w:val="none" w:sz="0" w:space="0" w:color="auto"/>
            <w:left w:val="none" w:sz="0" w:space="0" w:color="auto"/>
            <w:bottom w:val="none" w:sz="0" w:space="0" w:color="auto"/>
            <w:right w:val="none" w:sz="0" w:space="0" w:color="auto"/>
          </w:divBdr>
          <w:divsChild>
            <w:div w:id="1368916312">
              <w:marLeft w:val="0"/>
              <w:marRight w:val="0"/>
              <w:marTop w:val="0"/>
              <w:marBottom w:val="0"/>
              <w:divBdr>
                <w:top w:val="none" w:sz="0" w:space="0" w:color="auto"/>
                <w:left w:val="none" w:sz="0" w:space="0" w:color="auto"/>
                <w:bottom w:val="none" w:sz="0" w:space="0" w:color="auto"/>
                <w:right w:val="none" w:sz="0" w:space="0" w:color="auto"/>
              </w:divBdr>
            </w:div>
          </w:divsChild>
        </w:div>
        <w:div w:id="43599073">
          <w:marLeft w:val="0"/>
          <w:marRight w:val="0"/>
          <w:marTop w:val="0"/>
          <w:marBottom w:val="0"/>
          <w:divBdr>
            <w:top w:val="none" w:sz="0" w:space="0" w:color="auto"/>
            <w:left w:val="none" w:sz="0" w:space="0" w:color="auto"/>
            <w:bottom w:val="none" w:sz="0" w:space="0" w:color="auto"/>
            <w:right w:val="none" w:sz="0" w:space="0" w:color="auto"/>
          </w:divBdr>
          <w:divsChild>
            <w:div w:id="939532170">
              <w:marLeft w:val="0"/>
              <w:marRight w:val="0"/>
              <w:marTop w:val="0"/>
              <w:marBottom w:val="0"/>
              <w:divBdr>
                <w:top w:val="none" w:sz="0" w:space="0" w:color="auto"/>
                <w:left w:val="none" w:sz="0" w:space="0" w:color="auto"/>
                <w:bottom w:val="none" w:sz="0" w:space="0" w:color="auto"/>
                <w:right w:val="none" w:sz="0" w:space="0" w:color="auto"/>
              </w:divBdr>
            </w:div>
          </w:divsChild>
        </w:div>
        <w:div w:id="70084875">
          <w:marLeft w:val="0"/>
          <w:marRight w:val="0"/>
          <w:marTop w:val="0"/>
          <w:marBottom w:val="0"/>
          <w:divBdr>
            <w:top w:val="none" w:sz="0" w:space="0" w:color="auto"/>
            <w:left w:val="none" w:sz="0" w:space="0" w:color="auto"/>
            <w:bottom w:val="none" w:sz="0" w:space="0" w:color="auto"/>
            <w:right w:val="none" w:sz="0" w:space="0" w:color="auto"/>
          </w:divBdr>
          <w:divsChild>
            <w:div w:id="1716005177">
              <w:marLeft w:val="0"/>
              <w:marRight w:val="0"/>
              <w:marTop w:val="0"/>
              <w:marBottom w:val="0"/>
              <w:divBdr>
                <w:top w:val="none" w:sz="0" w:space="0" w:color="auto"/>
                <w:left w:val="none" w:sz="0" w:space="0" w:color="auto"/>
                <w:bottom w:val="none" w:sz="0" w:space="0" w:color="auto"/>
                <w:right w:val="none" w:sz="0" w:space="0" w:color="auto"/>
              </w:divBdr>
            </w:div>
          </w:divsChild>
        </w:div>
        <w:div w:id="108934132">
          <w:marLeft w:val="0"/>
          <w:marRight w:val="0"/>
          <w:marTop w:val="0"/>
          <w:marBottom w:val="0"/>
          <w:divBdr>
            <w:top w:val="none" w:sz="0" w:space="0" w:color="auto"/>
            <w:left w:val="none" w:sz="0" w:space="0" w:color="auto"/>
            <w:bottom w:val="none" w:sz="0" w:space="0" w:color="auto"/>
            <w:right w:val="none" w:sz="0" w:space="0" w:color="auto"/>
          </w:divBdr>
          <w:divsChild>
            <w:div w:id="1125585571">
              <w:marLeft w:val="0"/>
              <w:marRight w:val="0"/>
              <w:marTop w:val="0"/>
              <w:marBottom w:val="0"/>
              <w:divBdr>
                <w:top w:val="none" w:sz="0" w:space="0" w:color="auto"/>
                <w:left w:val="none" w:sz="0" w:space="0" w:color="auto"/>
                <w:bottom w:val="none" w:sz="0" w:space="0" w:color="auto"/>
                <w:right w:val="none" w:sz="0" w:space="0" w:color="auto"/>
              </w:divBdr>
            </w:div>
          </w:divsChild>
        </w:div>
        <w:div w:id="148253207">
          <w:marLeft w:val="0"/>
          <w:marRight w:val="0"/>
          <w:marTop w:val="0"/>
          <w:marBottom w:val="0"/>
          <w:divBdr>
            <w:top w:val="none" w:sz="0" w:space="0" w:color="auto"/>
            <w:left w:val="none" w:sz="0" w:space="0" w:color="auto"/>
            <w:bottom w:val="none" w:sz="0" w:space="0" w:color="auto"/>
            <w:right w:val="none" w:sz="0" w:space="0" w:color="auto"/>
          </w:divBdr>
          <w:divsChild>
            <w:div w:id="2036343230">
              <w:marLeft w:val="0"/>
              <w:marRight w:val="0"/>
              <w:marTop w:val="0"/>
              <w:marBottom w:val="0"/>
              <w:divBdr>
                <w:top w:val="none" w:sz="0" w:space="0" w:color="auto"/>
                <w:left w:val="none" w:sz="0" w:space="0" w:color="auto"/>
                <w:bottom w:val="none" w:sz="0" w:space="0" w:color="auto"/>
                <w:right w:val="none" w:sz="0" w:space="0" w:color="auto"/>
              </w:divBdr>
            </w:div>
          </w:divsChild>
        </w:div>
        <w:div w:id="176703398">
          <w:marLeft w:val="0"/>
          <w:marRight w:val="0"/>
          <w:marTop w:val="0"/>
          <w:marBottom w:val="0"/>
          <w:divBdr>
            <w:top w:val="none" w:sz="0" w:space="0" w:color="auto"/>
            <w:left w:val="none" w:sz="0" w:space="0" w:color="auto"/>
            <w:bottom w:val="none" w:sz="0" w:space="0" w:color="auto"/>
            <w:right w:val="none" w:sz="0" w:space="0" w:color="auto"/>
          </w:divBdr>
          <w:divsChild>
            <w:div w:id="994065509">
              <w:marLeft w:val="0"/>
              <w:marRight w:val="0"/>
              <w:marTop w:val="0"/>
              <w:marBottom w:val="0"/>
              <w:divBdr>
                <w:top w:val="none" w:sz="0" w:space="0" w:color="auto"/>
                <w:left w:val="none" w:sz="0" w:space="0" w:color="auto"/>
                <w:bottom w:val="none" w:sz="0" w:space="0" w:color="auto"/>
                <w:right w:val="none" w:sz="0" w:space="0" w:color="auto"/>
              </w:divBdr>
            </w:div>
          </w:divsChild>
        </w:div>
        <w:div w:id="225577468">
          <w:marLeft w:val="0"/>
          <w:marRight w:val="0"/>
          <w:marTop w:val="0"/>
          <w:marBottom w:val="0"/>
          <w:divBdr>
            <w:top w:val="none" w:sz="0" w:space="0" w:color="auto"/>
            <w:left w:val="none" w:sz="0" w:space="0" w:color="auto"/>
            <w:bottom w:val="none" w:sz="0" w:space="0" w:color="auto"/>
            <w:right w:val="none" w:sz="0" w:space="0" w:color="auto"/>
          </w:divBdr>
          <w:divsChild>
            <w:div w:id="347145804">
              <w:marLeft w:val="0"/>
              <w:marRight w:val="0"/>
              <w:marTop w:val="0"/>
              <w:marBottom w:val="0"/>
              <w:divBdr>
                <w:top w:val="none" w:sz="0" w:space="0" w:color="auto"/>
                <w:left w:val="none" w:sz="0" w:space="0" w:color="auto"/>
                <w:bottom w:val="none" w:sz="0" w:space="0" w:color="auto"/>
                <w:right w:val="none" w:sz="0" w:space="0" w:color="auto"/>
              </w:divBdr>
            </w:div>
          </w:divsChild>
        </w:div>
        <w:div w:id="256210216">
          <w:marLeft w:val="0"/>
          <w:marRight w:val="0"/>
          <w:marTop w:val="0"/>
          <w:marBottom w:val="0"/>
          <w:divBdr>
            <w:top w:val="none" w:sz="0" w:space="0" w:color="auto"/>
            <w:left w:val="none" w:sz="0" w:space="0" w:color="auto"/>
            <w:bottom w:val="none" w:sz="0" w:space="0" w:color="auto"/>
            <w:right w:val="none" w:sz="0" w:space="0" w:color="auto"/>
          </w:divBdr>
          <w:divsChild>
            <w:div w:id="337466468">
              <w:marLeft w:val="0"/>
              <w:marRight w:val="0"/>
              <w:marTop w:val="0"/>
              <w:marBottom w:val="0"/>
              <w:divBdr>
                <w:top w:val="none" w:sz="0" w:space="0" w:color="auto"/>
                <w:left w:val="none" w:sz="0" w:space="0" w:color="auto"/>
                <w:bottom w:val="none" w:sz="0" w:space="0" w:color="auto"/>
                <w:right w:val="none" w:sz="0" w:space="0" w:color="auto"/>
              </w:divBdr>
            </w:div>
          </w:divsChild>
        </w:div>
        <w:div w:id="263458331">
          <w:marLeft w:val="0"/>
          <w:marRight w:val="0"/>
          <w:marTop w:val="0"/>
          <w:marBottom w:val="0"/>
          <w:divBdr>
            <w:top w:val="none" w:sz="0" w:space="0" w:color="auto"/>
            <w:left w:val="none" w:sz="0" w:space="0" w:color="auto"/>
            <w:bottom w:val="none" w:sz="0" w:space="0" w:color="auto"/>
            <w:right w:val="none" w:sz="0" w:space="0" w:color="auto"/>
          </w:divBdr>
          <w:divsChild>
            <w:div w:id="530846048">
              <w:marLeft w:val="0"/>
              <w:marRight w:val="0"/>
              <w:marTop w:val="0"/>
              <w:marBottom w:val="0"/>
              <w:divBdr>
                <w:top w:val="none" w:sz="0" w:space="0" w:color="auto"/>
                <w:left w:val="none" w:sz="0" w:space="0" w:color="auto"/>
                <w:bottom w:val="none" w:sz="0" w:space="0" w:color="auto"/>
                <w:right w:val="none" w:sz="0" w:space="0" w:color="auto"/>
              </w:divBdr>
            </w:div>
          </w:divsChild>
        </w:div>
        <w:div w:id="298583011">
          <w:marLeft w:val="0"/>
          <w:marRight w:val="0"/>
          <w:marTop w:val="0"/>
          <w:marBottom w:val="0"/>
          <w:divBdr>
            <w:top w:val="none" w:sz="0" w:space="0" w:color="auto"/>
            <w:left w:val="none" w:sz="0" w:space="0" w:color="auto"/>
            <w:bottom w:val="none" w:sz="0" w:space="0" w:color="auto"/>
            <w:right w:val="none" w:sz="0" w:space="0" w:color="auto"/>
          </w:divBdr>
          <w:divsChild>
            <w:div w:id="495456000">
              <w:marLeft w:val="0"/>
              <w:marRight w:val="0"/>
              <w:marTop w:val="0"/>
              <w:marBottom w:val="0"/>
              <w:divBdr>
                <w:top w:val="none" w:sz="0" w:space="0" w:color="auto"/>
                <w:left w:val="none" w:sz="0" w:space="0" w:color="auto"/>
                <w:bottom w:val="none" w:sz="0" w:space="0" w:color="auto"/>
                <w:right w:val="none" w:sz="0" w:space="0" w:color="auto"/>
              </w:divBdr>
            </w:div>
          </w:divsChild>
        </w:div>
        <w:div w:id="320810415">
          <w:marLeft w:val="0"/>
          <w:marRight w:val="0"/>
          <w:marTop w:val="0"/>
          <w:marBottom w:val="0"/>
          <w:divBdr>
            <w:top w:val="none" w:sz="0" w:space="0" w:color="auto"/>
            <w:left w:val="none" w:sz="0" w:space="0" w:color="auto"/>
            <w:bottom w:val="none" w:sz="0" w:space="0" w:color="auto"/>
            <w:right w:val="none" w:sz="0" w:space="0" w:color="auto"/>
          </w:divBdr>
          <w:divsChild>
            <w:div w:id="659235809">
              <w:marLeft w:val="0"/>
              <w:marRight w:val="0"/>
              <w:marTop w:val="0"/>
              <w:marBottom w:val="0"/>
              <w:divBdr>
                <w:top w:val="none" w:sz="0" w:space="0" w:color="auto"/>
                <w:left w:val="none" w:sz="0" w:space="0" w:color="auto"/>
                <w:bottom w:val="none" w:sz="0" w:space="0" w:color="auto"/>
                <w:right w:val="none" w:sz="0" w:space="0" w:color="auto"/>
              </w:divBdr>
            </w:div>
          </w:divsChild>
        </w:div>
        <w:div w:id="389620843">
          <w:marLeft w:val="0"/>
          <w:marRight w:val="0"/>
          <w:marTop w:val="0"/>
          <w:marBottom w:val="0"/>
          <w:divBdr>
            <w:top w:val="none" w:sz="0" w:space="0" w:color="auto"/>
            <w:left w:val="none" w:sz="0" w:space="0" w:color="auto"/>
            <w:bottom w:val="none" w:sz="0" w:space="0" w:color="auto"/>
            <w:right w:val="none" w:sz="0" w:space="0" w:color="auto"/>
          </w:divBdr>
          <w:divsChild>
            <w:div w:id="1810974368">
              <w:marLeft w:val="0"/>
              <w:marRight w:val="0"/>
              <w:marTop w:val="0"/>
              <w:marBottom w:val="0"/>
              <w:divBdr>
                <w:top w:val="none" w:sz="0" w:space="0" w:color="auto"/>
                <w:left w:val="none" w:sz="0" w:space="0" w:color="auto"/>
                <w:bottom w:val="none" w:sz="0" w:space="0" w:color="auto"/>
                <w:right w:val="none" w:sz="0" w:space="0" w:color="auto"/>
              </w:divBdr>
            </w:div>
          </w:divsChild>
        </w:div>
        <w:div w:id="409425177">
          <w:marLeft w:val="0"/>
          <w:marRight w:val="0"/>
          <w:marTop w:val="0"/>
          <w:marBottom w:val="0"/>
          <w:divBdr>
            <w:top w:val="none" w:sz="0" w:space="0" w:color="auto"/>
            <w:left w:val="none" w:sz="0" w:space="0" w:color="auto"/>
            <w:bottom w:val="none" w:sz="0" w:space="0" w:color="auto"/>
            <w:right w:val="none" w:sz="0" w:space="0" w:color="auto"/>
          </w:divBdr>
          <w:divsChild>
            <w:div w:id="1890190207">
              <w:marLeft w:val="0"/>
              <w:marRight w:val="0"/>
              <w:marTop w:val="0"/>
              <w:marBottom w:val="0"/>
              <w:divBdr>
                <w:top w:val="none" w:sz="0" w:space="0" w:color="auto"/>
                <w:left w:val="none" w:sz="0" w:space="0" w:color="auto"/>
                <w:bottom w:val="none" w:sz="0" w:space="0" w:color="auto"/>
                <w:right w:val="none" w:sz="0" w:space="0" w:color="auto"/>
              </w:divBdr>
            </w:div>
          </w:divsChild>
        </w:div>
        <w:div w:id="414088716">
          <w:marLeft w:val="0"/>
          <w:marRight w:val="0"/>
          <w:marTop w:val="0"/>
          <w:marBottom w:val="0"/>
          <w:divBdr>
            <w:top w:val="none" w:sz="0" w:space="0" w:color="auto"/>
            <w:left w:val="none" w:sz="0" w:space="0" w:color="auto"/>
            <w:bottom w:val="none" w:sz="0" w:space="0" w:color="auto"/>
            <w:right w:val="none" w:sz="0" w:space="0" w:color="auto"/>
          </w:divBdr>
          <w:divsChild>
            <w:div w:id="1574076222">
              <w:marLeft w:val="0"/>
              <w:marRight w:val="0"/>
              <w:marTop w:val="0"/>
              <w:marBottom w:val="0"/>
              <w:divBdr>
                <w:top w:val="none" w:sz="0" w:space="0" w:color="auto"/>
                <w:left w:val="none" w:sz="0" w:space="0" w:color="auto"/>
                <w:bottom w:val="none" w:sz="0" w:space="0" w:color="auto"/>
                <w:right w:val="none" w:sz="0" w:space="0" w:color="auto"/>
              </w:divBdr>
            </w:div>
          </w:divsChild>
        </w:div>
        <w:div w:id="446510823">
          <w:marLeft w:val="0"/>
          <w:marRight w:val="0"/>
          <w:marTop w:val="0"/>
          <w:marBottom w:val="0"/>
          <w:divBdr>
            <w:top w:val="none" w:sz="0" w:space="0" w:color="auto"/>
            <w:left w:val="none" w:sz="0" w:space="0" w:color="auto"/>
            <w:bottom w:val="none" w:sz="0" w:space="0" w:color="auto"/>
            <w:right w:val="none" w:sz="0" w:space="0" w:color="auto"/>
          </w:divBdr>
          <w:divsChild>
            <w:div w:id="781338419">
              <w:marLeft w:val="0"/>
              <w:marRight w:val="0"/>
              <w:marTop w:val="0"/>
              <w:marBottom w:val="0"/>
              <w:divBdr>
                <w:top w:val="none" w:sz="0" w:space="0" w:color="auto"/>
                <w:left w:val="none" w:sz="0" w:space="0" w:color="auto"/>
                <w:bottom w:val="none" w:sz="0" w:space="0" w:color="auto"/>
                <w:right w:val="none" w:sz="0" w:space="0" w:color="auto"/>
              </w:divBdr>
            </w:div>
          </w:divsChild>
        </w:div>
        <w:div w:id="458915821">
          <w:marLeft w:val="0"/>
          <w:marRight w:val="0"/>
          <w:marTop w:val="0"/>
          <w:marBottom w:val="0"/>
          <w:divBdr>
            <w:top w:val="none" w:sz="0" w:space="0" w:color="auto"/>
            <w:left w:val="none" w:sz="0" w:space="0" w:color="auto"/>
            <w:bottom w:val="none" w:sz="0" w:space="0" w:color="auto"/>
            <w:right w:val="none" w:sz="0" w:space="0" w:color="auto"/>
          </w:divBdr>
          <w:divsChild>
            <w:div w:id="1095437914">
              <w:marLeft w:val="0"/>
              <w:marRight w:val="0"/>
              <w:marTop w:val="0"/>
              <w:marBottom w:val="0"/>
              <w:divBdr>
                <w:top w:val="none" w:sz="0" w:space="0" w:color="auto"/>
                <w:left w:val="none" w:sz="0" w:space="0" w:color="auto"/>
                <w:bottom w:val="none" w:sz="0" w:space="0" w:color="auto"/>
                <w:right w:val="none" w:sz="0" w:space="0" w:color="auto"/>
              </w:divBdr>
            </w:div>
          </w:divsChild>
        </w:div>
        <w:div w:id="477116715">
          <w:marLeft w:val="0"/>
          <w:marRight w:val="0"/>
          <w:marTop w:val="0"/>
          <w:marBottom w:val="0"/>
          <w:divBdr>
            <w:top w:val="none" w:sz="0" w:space="0" w:color="auto"/>
            <w:left w:val="none" w:sz="0" w:space="0" w:color="auto"/>
            <w:bottom w:val="none" w:sz="0" w:space="0" w:color="auto"/>
            <w:right w:val="none" w:sz="0" w:space="0" w:color="auto"/>
          </w:divBdr>
          <w:divsChild>
            <w:div w:id="796604124">
              <w:marLeft w:val="0"/>
              <w:marRight w:val="0"/>
              <w:marTop w:val="0"/>
              <w:marBottom w:val="0"/>
              <w:divBdr>
                <w:top w:val="none" w:sz="0" w:space="0" w:color="auto"/>
                <w:left w:val="none" w:sz="0" w:space="0" w:color="auto"/>
                <w:bottom w:val="none" w:sz="0" w:space="0" w:color="auto"/>
                <w:right w:val="none" w:sz="0" w:space="0" w:color="auto"/>
              </w:divBdr>
            </w:div>
          </w:divsChild>
        </w:div>
        <w:div w:id="506597501">
          <w:marLeft w:val="0"/>
          <w:marRight w:val="0"/>
          <w:marTop w:val="0"/>
          <w:marBottom w:val="0"/>
          <w:divBdr>
            <w:top w:val="none" w:sz="0" w:space="0" w:color="auto"/>
            <w:left w:val="none" w:sz="0" w:space="0" w:color="auto"/>
            <w:bottom w:val="none" w:sz="0" w:space="0" w:color="auto"/>
            <w:right w:val="none" w:sz="0" w:space="0" w:color="auto"/>
          </w:divBdr>
          <w:divsChild>
            <w:div w:id="1485702025">
              <w:marLeft w:val="0"/>
              <w:marRight w:val="0"/>
              <w:marTop w:val="0"/>
              <w:marBottom w:val="0"/>
              <w:divBdr>
                <w:top w:val="none" w:sz="0" w:space="0" w:color="auto"/>
                <w:left w:val="none" w:sz="0" w:space="0" w:color="auto"/>
                <w:bottom w:val="none" w:sz="0" w:space="0" w:color="auto"/>
                <w:right w:val="none" w:sz="0" w:space="0" w:color="auto"/>
              </w:divBdr>
            </w:div>
          </w:divsChild>
        </w:div>
        <w:div w:id="510222907">
          <w:marLeft w:val="0"/>
          <w:marRight w:val="0"/>
          <w:marTop w:val="0"/>
          <w:marBottom w:val="0"/>
          <w:divBdr>
            <w:top w:val="none" w:sz="0" w:space="0" w:color="auto"/>
            <w:left w:val="none" w:sz="0" w:space="0" w:color="auto"/>
            <w:bottom w:val="none" w:sz="0" w:space="0" w:color="auto"/>
            <w:right w:val="none" w:sz="0" w:space="0" w:color="auto"/>
          </w:divBdr>
          <w:divsChild>
            <w:div w:id="2143957473">
              <w:marLeft w:val="0"/>
              <w:marRight w:val="0"/>
              <w:marTop w:val="0"/>
              <w:marBottom w:val="0"/>
              <w:divBdr>
                <w:top w:val="none" w:sz="0" w:space="0" w:color="auto"/>
                <w:left w:val="none" w:sz="0" w:space="0" w:color="auto"/>
                <w:bottom w:val="none" w:sz="0" w:space="0" w:color="auto"/>
                <w:right w:val="none" w:sz="0" w:space="0" w:color="auto"/>
              </w:divBdr>
            </w:div>
          </w:divsChild>
        </w:div>
        <w:div w:id="516699935">
          <w:marLeft w:val="0"/>
          <w:marRight w:val="0"/>
          <w:marTop w:val="0"/>
          <w:marBottom w:val="0"/>
          <w:divBdr>
            <w:top w:val="none" w:sz="0" w:space="0" w:color="auto"/>
            <w:left w:val="none" w:sz="0" w:space="0" w:color="auto"/>
            <w:bottom w:val="none" w:sz="0" w:space="0" w:color="auto"/>
            <w:right w:val="none" w:sz="0" w:space="0" w:color="auto"/>
          </w:divBdr>
          <w:divsChild>
            <w:div w:id="2030519391">
              <w:marLeft w:val="0"/>
              <w:marRight w:val="0"/>
              <w:marTop w:val="0"/>
              <w:marBottom w:val="0"/>
              <w:divBdr>
                <w:top w:val="none" w:sz="0" w:space="0" w:color="auto"/>
                <w:left w:val="none" w:sz="0" w:space="0" w:color="auto"/>
                <w:bottom w:val="none" w:sz="0" w:space="0" w:color="auto"/>
                <w:right w:val="none" w:sz="0" w:space="0" w:color="auto"/>
              </w:divBdr>
            </w:div>
          </w:divsChild>
        </w:div>
        <w:div w:id="518086486">
          <w:marLeft w:val="0"/>
          <w:marRight w:val="0"/>
          <w:marTop w:val="0"/>
          <w:marBottom w:val="0"/>
          <w:divBdr>
            <w:top w:val="none" w:sz="0" w:space="0" w:color="auto"/>
            <w:left w:val="none" w:sz="0" w:space="0" w:color="auto"/>
            <w:bottom w:val="none" w:sz="0" w:space="0" w:color="auto"/>
            <w:right w:val="none" w:sz="0" w:space="0" w:color="auto"/>
          </w:divBdr>
          <w:divsChild>
            <w:div w:id="390080462">
              <w:marLeft w:val="0"/>
              <w:marRight w:val="0"/>
              <w:marTop w:val="0"/>
              <w:marBottom w:val="0"/>
              <w:divBdr>
                <w:top w:val="none" w:sz="0" w:space="0" w:color="auto"/>
                <w:left w:val="none" w:sz="0" w:space="0" w:color="auto"/>
                <w:bottom w:val="none" w:sz="0" w:space="0" w:color="auto"/>
                <w:right w:val="none" w:sz="0" w:space="0" w:color="auto"/>
              </w:divBdr>
            </w:div>
          </w:divsChild>
        </w:div>
        <w:div w:id="541284859">
          <w:marLeft w:val="0"/>
          <w:marRight w:val="0"/>
          <w:marTop w:val="0"/>
          <w:marBottom w:val="0"/>
          <w:divBdr>
            <w:top w:val="none" w:sz="0" w:space="0" w:color="auto"/>
            <w:left w:val="none" w:sz="0" w:space="0" w:color="auto"/>
            <w:bottom w:val="none" w:sz="0" w:space="0" w:color="auto"/>
            <w:right w:val="none" w:sz="0" w:space="0" w:color="auto"/>
          </w:divBdr>
          <w:divsChild>
            <w:div w:id="584610601">
              <w:marLeft w:val="0"/>
              <w:marRight w:val="0"/>
              <w:marTop w:val="0"/>
              <w:marBottom w:val="0"/>
              <w:divBdr>
                <w:top w:val="none" w:sz="0" w:space="0" w:color="auto"/>
                <w:left w:val="none" w:sz="0" w:space="0" w:color="auto"/>
                <w:bottom w:val="none" w:sz="0" w:space="0" w:color="auto"/>
                <w:right w:val="none" w:sz="0" w:space="0" w:color="auto"/>
              </w:divBdr>
            </w:div>
          </w:divsChild>
        </w:div>
        <w:div w:id="544025135">
          <w:marLeft w:val="0"/>
          <w:marRight w:val="0"/>
          <w:marTop w:val="0"/>
          <w:marBottom w:val="0"/>
          <w:divBdr>
            <w:top w:val="none" w:sz="0" w:space="0" w:color="auto"/>
            <w:left w:val="none" w:sz="0" w:space="0" w:color="auto"/>
            <w:bottom w:val="none" w:sz="0" w:space="0" w:color="auto"/>
            <w:right w:val="none" w:sz="0" w:space="0" w:color="auto"/>
          </w:divBdr>
          <w:divsChild>
            <w:div w:id="773094046">
              <w:marLeft w:val="0"/>
              <w:marRight w:val="0"/>
              <w:marTop w:val="0"/>
              <w:marBottom w:val="0"/>
              <w:divBdr>
                <w:top w:val="none" w:sz="0" w:space="0" w:color="auto"/>
                <w:left w:val="none" w:sz="0" w:space="0" w:color="auto"/>
                <w:bottom w:val="none" w:sz="0" w:space="0" w:color="auto"/>
                <w:right w:val="none" w:sz="0" w:space="0" w:color="auto"/>
              </w:divBdr>
            </w:div>
          </w:divsChild>
        </w:div>
        <w:div w:id="546451534">
          <w:marLeft w:val="0"/>
          <w:marRight w:val="0"/>
          <w:marTop w:val="0"/>
          <w:marBottom w:val="0"/>
          <w:divBdr>
            <w:top w:val="none" w:sz="0" w:space="0" w:color="auto"/>
            <w:left w:val="none" w:sz="0" w:space="0" w:color="auto"/>
            <w:bottom w:val="none" w:sz="0" w:space="0" w:color="auto"/>
            <w:right w:val="none" w:sz="0" w:space="0" w:color="auto"/>
          </w:divBdr>
          <w:divsChild>
            <w:div w:id="545341142">
              <w:marLeft w:val="0"/>
              <w:marRight w:val="0"/>
              <w:marTop w:val="0"/>
              <w:marBottom w:val="0"/>
              <w:divBdr>
                <w:top w:val="none" w:sz="0" w:space="0" w:color="auto"/>
                <w:left w:val="none" w:sz="0" w:space="0" w:color="auto"/>
                <w:bottom w:val="none" w:sz="0" w:space="0" w:color="auto"/>
                <w:right w:val="none" w:sz="0" w:space="0" w:color="auto"/>
              </w:divBdr>
            </w:div>
          </w:divsChild>
        </w:div>
        <w:div w:id="555165758">
          <w:marLeft w:val="0"/>
          <w:marRight w:val="0"/>
          <w:marTop w:val="0"/>
          <w:marBottom w:val="0"/>
          <w:divBdr>
            <w:top w:val="none" w:sz="0" w:space="0" w:color="auto"/>
            <w:left w:val="none" w:sz="0" w:space="0" w:color="auto"/>
            <w:bottom w:val="none" w:sz="0" w:space="0" w:color="auto"/>
            <w:right w:val="none" w:sz="0" w:space="0" w:color="auto"/>
          </w:divBdr>
          <w:divsChild>
            <w:div w:id="1503738711">
              <w:marLeft w:val="0"/>
              <w:marRight w:val="0"/>
              <w:marTop w:val="0"/>
              <w:marBottom w:val="0"/>
              <w:divBdr>
                <w:top w:val="none" w:sz="0" w:space="0" w:color="auto"/>
                <w:left w:val="none" w:sz="0" w:space="0" w:color="auto"/>
                <w:bottom w:val="none" w:sz="0" w:space="0" w:color="auto"/>
                <w:right w:val="none" w:sz="0" w:space="0" w:color="auto"/>
              </w:divBdr>
            </w:div>
          </w:divsChild>
        </w:div>
        <w:div w:id="558785035">
          <w:marLeft w:val="0"/>
          <w:marRight w:val="0"/>
          <w:marTop w:val="0"/>
          <w:marBottom w:val="0"/>
          <w:divBdr>
            <w:top w:val="none" w:sz="0" w:space="0" w:color="auto"/>
            <w:left w:val="none" w:sz="0" w:space="0" w:color="auto"/>
            <w:bottom w:val="none" w:sz="0" w:space="0" w:color="auto"/>
            <w:right w:val="none" w:sz="0" w:space="0" w:color="auto"/>
          </w:divBdr>
          <w:divsChild>
            <w:div w:id="1833401727">
              <w:marLeft w:val="0"/>
              <w:marRight w:val="0"/>
              <w:marTop w:val="0"/>
              <w:marBottom w:val="0"/>
              <w:divBdr>
                <w:top w:val="none" w:sz="0" w:space="0" w:color="auto"/>
                <w:left w:val="none" w:sz="0" w:space="0" w:color="auto"/>
                <w:bottom w:val="none" w:sz="0" w:space="0" w:color="auto"/>
                <w:right w:val="none" w:sz="0" w:space="0" w:color="auto"/>
              </w:divBdr>
            </w:div>
          </w:divsChild>
        </w:div>
        <w:div w:id="585386656">
          <w:marLeft w:val="0"/>
          <w:marRight w:val="0"/>
          <w:marTop w:val="0"/>
          <w:marBottom w:val="0"/>
          <w:divBdr>
            <w:top w:val="none" w:sz="0" w:space="0" w:color="auto"/>
            <w:left w:val="none" w:sz="0" w:space="0" w:color="auto"/>
            <w:bottom w:val="none" w:sz="0" w:space="0" w:color="auto"/>
            <w:right w:val="none" w:sz="0" w:space="0" w:color="auto"/>
          </w:divBdr>
          <w:divsChild>
            <w:div w:id="214390397">
              <w:marLeft w:val="0"/>
              <w:marRight w:val="0"/>
              <w:marTop w:val="0"/>
              <w:marBottom w:val="0"/>
              <w:divBdr>
                <w:top w:val="none" w:sz="0" w:space="0" w:color="auto"/>
                <w:left w:val="none" w:sz="0" w:space="0" w:color="auto"/>
                <w:bottom w:val="none" w:sz="0" w:space="0" w:color="auto"/>
                <w:right w:val="none" w:sz="0" w:space="0" w:color="auto"/>
              </w:divBdr>
            </w:div>
          </w:divsChild>
        </w:div>
        <w:div w:id="700782867">
          <w:marLeft w:val="0"/>
          <w:marRight w:val="0"/>
          <w:marTop w:val="0"/>
          <w:marBottom w:val="0"/>
          <w:divBdr>
            <w:top w:val="none" w:sz="0" w:space="0" w:color="auto"/>
            <w:left w:val="none" w:sz="0" w:space="0" w:color="auto"/>
            <w:bottom w:val="none" w:sz="0" w:space="0" w:color="auto"/>
            <w:right w:val="none" w:sz="0" w:space="0" w:color="auto"/>
          </w:divBdr>
          <w:divsChild>
            <w:div w:id="1996030920">
              <w:marLeft w:val="0"/>
              <w:marRight w:val="0"/>
              <w:marTop w:val="0"/>
              <w:marBottom w:val="0"/>
              <w:divBdr>
                <w:top w:val="none" w:sz="0" w:space="0" w:color="auto"/>
                <w:left w:val="none" w:sz="0" w:space="0" w:color="auto"/>
                <w:bottom w:val="none" w:sz="0" w:space="0" w:color="auto"/>
                <w:right w:val="none" w:sz="0" w:space="0" w:color="auto"/>
              </w:divBdr>
            </w:div>
          </w:divsChild>
        </w:div>
        <w:div w:id="723867804">
          <w:marLeft w:val="0"/>
          <w:marRight w:val="0"/>
          <w:marTop w:val="0"/>
          <w:marBottom w:val="0"/>
          <w:divBdr>
            <w:top w:val="none" w:sz="0" w:space="0" w:color="auto"/>
            <w:left w:val="none" w:sz="0" w:space="0" w:color="auto"/>
            <w:bottom w:val="none" w:sz="0" w:space="0" w:color="auto"/>
            <w:right w:val="none" w:sz="0" w:space="0" w:color="auto"/>
          </w:divBdr>
          <w:divsChild>
            <w:div w:id="532350981">
              <w:marLeft w:val="0"/>
              <w:marRight w:val="0"/>
              <w:marTop w:val="0"/>
              <w:marBottom w:val="0"/>
              <w:divBdr>
                <w:top w:val="none" w:sz="0" w:space="0" w:color="auto"/>
                <w:left w:val="none" w:sz="0" w:space="0" w:color="auto"/>
                <w:bottom w:val="none" w:sz="0" w:space="0" w:color="auto"/>
                <w:right w:val="none" w:sz="0" w:space="0" w:color="auto"/>
              </w:divBdr>
            </w:div>
          </w:divsChild>
        </w:div>
        <w:div w:id="732199481">
          <w:marLeft w:val="0"/>
          <w:marRight w:val="0"/>
          <w:marTop w:val="0"/>
          <w:marBottom w:val="0"/>
          <w:divBdr>
            <w:top w:val="none" w:sz="0" w:space="0" w:color="auto"/>
            <w:left w:val="none" w:sz="0" w:space="0" w:color="auto"/>
            <w:bottom w:val="none" w:sz="0" w:space="0" w:color="auto"/>
            <w:right w:val="none" w:sz="0" w:space="0" w:color="auto"/>
          </w:divBdr>
          <w:divsChild>
            <w:div w:id="2111318867">
              <w:marLeft w:val="0"/>
              <w:marRight w:val="0"/>
              <w:marTop w:val="0"/>
              <w:marBottom w:val="0"/>
              <w:divBdr>
                <w:top w:val="none" w:sz="0" w:space="0" w:color="auto"/>
                <w:left w:val="none" w:sz="0" w:space="0" w:color="auto"/>
                <w:bottom w:val="none" w:sz="0" w:space="0" w:color="auto"/>
                <w:right w:val="none" w:sz="0" w:space="0" w:color="auto"/>
              </w:divBdr>
            </w:div>
          </w:divsChild>
        </w:div>
        <w:div w:id="767845147">
          <w:marLeft w:val="0"/>
          <w:marRight w:val="0"/>
          <w:marTop w:val="0"/>
          <w:marBottom w:val="0"/>
          <w:divBdr>
            <w:top w:val="none" w:sz="0" w:space="0" w:color="auto"/>
            <w:left w:val="none" w:sz="0" w:space="0" w:color="auto"/>
            <w:bottom w:val="none" w:sz="0" w:space="0" w:color="auto"/>
            <w:right w:val="none" w:sz="0" w:space="0" w:color="auto"/>
          </w:divBdr>
          <w:divsChild>
            <w:div w:id="517474793">
              <w:marLeft w:val="0"/>
              <w:marRight w:val="0"/>
              <w:marTop w:val="0"/>
              <w:marBottom w:val="0"/>
              <w:divBdr>
                <w:top w:val="none" w:sz="0" w:space="0" w:color="auto"/>
                <w:left w:val="none" w:sz="0" w:space="0" w:color="auto"/>
                <w:bottom w:val="none" w:sz="0" w:space="0" w:color="auto"/>
                <w:right w:val="none" w:sz="0" w:space="0" w:color="auto"/>
              </w:divBdr>
            </w:div>
          </w:divsChild>
        </w:div>
        <w:div w:id="774716504">
          <w:marLeft w:val="0"/>
          <w:marRight w:val="0"/>
          <w:marTop w:val="0"/>
          <w:marBottom w:val="0"/>
          <w:divBdr>
            <w:top w:val="none" w:sz="0" w:space="0" w:color="auto"/>
            <w:left w:val="none" w:sz="0" w:space="0" w:color="auto"/>
            <w:bottom w:val="none" w:sz="0" w:space="0" w:color="auto"/>
            <w:right w:val="none" w:sz="0" w:space="0" w:color="auto"/>
          </w:divBdr>
          <w:divsChild>
            <w:div w:id="1972786810">
              <w:marLeft w:val="0"/>
              <w:marRight w:val="0"/>
              <w:marTop w:val="0"/>
              <w:marBottom w:val="0"/>
              <w:divBdr>
                <w:top w:val="none" w:sz="0" w:space="0" w:color="auto"/>
                <w:left w:val="none" w:sz="0" w:space="0" w:color="auto"/>
                <w:bottom w:val="none" w:sz="0" w:space="0" w:color="auto"/>
                <w:right w:val="none" w:sz="0" w:space="0" w:color="auto"/>
              </w:divBdr>
            </w:div>
          </w:divsChild>
        </w:div>
        <w:div w:id="811026560">
          <w:marLeft w:val="0"/>
          <w:marRight w:val="0"/>
          <w:marTop w:val="0"/>
          <w:marBottom w:val="0"/>
          <w:divBdr>
            <w:top w:val="none" w:sz="0" w:space="0" w:color="auto"/>
            <w:left w:val="none" w:sz="0" w:space="0" w:color="auto"/>
            <w:bottom w:val="none" w:sz="0" w:space="0" w:color="auto"/>
            <w:right w:val="none" w:sz="0" w:space="0" w:color="auto"/>
          </w:divBdr>
          <w:divsChild>
            <w:div w:id="2132354729">
              <w:marLeft w:val="0"/>
              <w:marRight w:val="0"/>
              <w:marTop w:val="0"/>
              <w:marBottom w:val="0"/>
              <w:divBdr>
                <w:top w:val="none" w:sz="0" w:space="0" w:color="auto"/>
                <w:left w:val="none" w:sz="0" w:space="0" w:color="auto"/>
                <w:bottom w:val="none" w:sz="0" w:space="0" w:color="auto"/>
                <w:right w:val="none" w:sz="0" w:space="0" w:color="auto"/>
              </w:divBdr>
            </w:div>
          </w:divsChild>
        </w:div>
        <w:div w:id="820386826">
          <w:marLeft w:val="0"/>
          <w:marRight w:val="0"/>
          <w:marTop w:val="0"/>
          <w:marBottom w:val="0"/>
          <w:divBdr>
            <w:top w:val="none" w:sz="0" w:space="0" w:color="auto"/>
            <w:left w:val="none" w:sz="0" w:space="0" w:color="auto"/>
            <w:bottom w:val="none" w:sz="0" w:space="0" w:color="auto"/>
            <w:right w:val="none" w:sz="0" w:space="0" w:color="auto"/>
          </w:divBdr>
          <w:divsChild>
            <w:div w:id="423572425">
              <w:marLeft w:val="0"/>
              <w:marRight w:val="0"/>
              <w:marTop w:val="0"/>
              <w:marBottom w:val="0"/>
              <w:divBdr>
                <w:top w:val="none" w:sz="0" w:space="0" w:color="auto"/>
                <w:left w:val="none" w:sz="0" w:space="0" w:color="auto"/>
                <w:bottom w:val="none" w:sz="0" w:space="0" w:color="auto"/>
                <w:right w:val="none" w:sz="0" w:space="0" w:color="auto"/>
              </w:divBdr>
            </w:div>
          </w:divsChild>
        </w:div>
        <w:div w:id="822163173">
          <w:marLeft w:val="0"/>
          <w:marRight w:val="0"/>
          <w:marTop w:val="0"/>
          <w:marBottom w:val="0"/>
          <w:divBdr>
            <w:top w:val="none" w:sz="0" w:space="0" w:color="auto"/>
            <w:left w:val="none" w:sz="0" w:space="0" w:color="auto"/>
            <w:bottom w:val="none" w:sz="0" w:space="0" w:color="auto"/>
            <w:right w:val="none" w:sz="0" w:space="0" w:color="auto"/>
          </w:divBdr>
          <w:divsChild>
            <w:div w:id="2107076066">
              <w:marLeft w:val="0"/>
              <w:marRight w:val="0"/>
              <w:marTop w:val="0"/>
              <w:marBottom w:val="0"/>
              <w:divBdr>
                <w:top w:val="none" w:sz="0" w:space="0" w:color="auto"/>
                <w:left w:val="none" w:sz="0" w:space="0" w:color="auto"/>
                <w:bottom w:val="none" w:sz="0" w:space="0" w:color="auto"/>
                <w:right w:val="none" w:sz="0" w:space="0" w:color="auto"/>
              </w:divBdr>
            </w:div>
          </w:divsChild>
        </w:div>
        <w:div w:id="822503776">
          <w:marLeft w:val="0"/>
          <w:marRight w:val="0"/>
          <w:marTop w:val="0"/>
          <w:marBottom w:val="0"/>
          <w:divBdr>
            <w:top w:val="none" w:sz="0" w:space="0" w:color="auto"/>
            <w:left w:val="none" w:sz="0" w:space="0" w:color="auto"/>
            <w:bottom w:val="none" w:sz="0" w:space="0" w:color="auto"/>
            <w:right w:val="none" w:sz="0" w:space="0" w:color="auto"/>
          </w:divBdr>
          <w:divsChild>
            <w:div w:id="305934250">
              <w:marLeft w:val="0"/>
              <w:marRight w:val="0"/>
              <w:marTop w:val="0"/>
              <w:marBottom w:val="0"/>
              <w:divBdr>
                <w:top w:val="none" w:sz="0" w:space="0" w:color="auto"/>
                <w:left w:val="none" w:sz="0" w:space="0" w:color="auto"/>
                <w:bottom w:val="none" w:sz="0" w:space="0" w:color="auto"/>
                <w:right w:val="none" w:sz="0" w:space="0" w:color="auto"/>
              </w:divBdr>
            </w:div>
          </w:divsChild>
        </w:div>
        <w:div w:id="825630985">
          <w:marLeft w:val="0"/>
          <w:marRight w:val="0"/>
          <w:marTop w:val="0"/>
          <w:marBottom w:val="0"/>
          <w:divBdr>
            <w:top w:val="none" w:sz="0" w:space="0" w:color="auto"/>
            <w:left w:val="none" w:sz="0" w:space="0" w:color="auto"/>
            <w:bottom w:val="none" w:sz="0" w:space="0" w:color="auto"/>
            <w:right w:val="none" w:sz="0" w:space="0" w:color="auto"/>
          </w:divBdr>
          <w:divsChild>
            <w:div w:id="159539278">
              <w:marLeft w:val="0"/>
              <w:marRight w:val="0"/>
              <w:marTop w:val="0"/>
              <w:marBottom w:val="0"/>
              <w:divBdr>
                <w:top w:val="none" w:sz="0" w:space="0" w:color="auto"/>
                <w:left w:val="none" w:sz="0" w:space="0" w:color="auto"/>
                <w:bottom w:val="none" w:sz="0" w:space="0" w:color="auto"/>
                <w:right w:val="none" w:sz="0" w:space="0" w:color="auto"/>
              </w:divBdr>
            </w:div>
          </w:divsChild>
        </w:div>
        <w:div w:id="831410935">
          <w:marLeft w:val="0"/>
          <w:marRight w:val="0"/>
          <w:marTop w:val="0"/>
          <w:marBottom w:val="0"/>
          <w:divBdr>
            <w:top w:val="none" w:sz="0" w:space="0" w:color="auto"/>
            <w:left w:val="none" w:sz="0" w:space="0" w:color="auto"/>
            <w:bottom w:val="none" w:sz="0" w:space="0" w:color="auto"/>
            <w:right w:val="none" w:sz="0" w:space="0" w:color="auto"/>
          </w:divBdr>
          <w:divsChild>
            <w:div w:id="70350948">
              <w:marLeft w:val="0"/>
              <w:marRight w:val="0"/>
              <w:marTop w:val="0"/>
              <w:marBottom w:val="0"/>
              <w:divBdr>
                <w:top w:val="none" w:sz="0" w:space="0" w:color="auto"/>
                <w:left w:val="none" w:sz="0" w:space="0" w:color="auto"/>
                <w:bottom w:val="none" w:sz="0" w:space="0" w:color="auto"/>
                <w:right w:val="none" w:sz="0" w:space="0" w:color="auto"/>
              </w:divBdr>
            </w:div>
          </w:divsChild>
        </w:div>
        <w:div w:id="841043488">
          <w:marLeft w:val="0"/>
          <w:marRight w:val="0"/>
          <w:marTop w:val="0"/>
          <w:marBottom w:val="0"/>
          <w:divBdr>
            <w:top w:val="none" w:sz="0" w:space="0" w:color="auto"/>
            <w:left w:val="none" w:sz="0" w:space="0" w:color="auto"/>
            <w:bottom w:val="none" w:sz="0" w:space="0" w:color="auto"/>
            <w:right w:val="none" w:sz="0" w:space="0" w:color="auto"/>
          </w:divBdr>
          <w:divsChild>
            <w:div w:id="927157615">
              <w:marLeft w:val="0"/>
              <w:marRight w:val="0"/>
              <w:marTop w:val="0"/>
              <w:marBottom w:val="0"/>
              <w:divBdr>
                <w:top w:val="none" w:sz="0" w:space="0" w:color="auto"/>
                <w:left w:val="none" w:sz="0" w:space="0" w:color="auto"/>
                <w:bottom w:val="none" w:sz="0" w:space="0" w:color="auto"/>
                <w:right w:val="none" w:sz="0" w:space="0" w:color="auto"/>
              </w:divBdr>
            </w:div>
          </w:divsChild>
        </w:div>
        <w:div w:id="850875562">
          <w:marLeft w:val="0"/>
          <w:marRight w:val="0"/>
          <w:marTop w:val="0"/>
          <w:marBottom w:val="0"/>
          <w:divBdr>
            <w:top w:val="none" w:sz="0" w:space="0" w:color="auto"/>
            <w:left w:val="none" w:sz="0" w:space="0" w:color="auto"/>
            <w:bottom w:val="none" w:sz="0" w:space="0" w:color="auto"/>
            <w:right w:val="none" w:sz="0" w:space="0" w:color="auto"/>
          </w:divBdr>
          <w:divsChild>
            <w:div w:id="674721187">
              <w:marLeft w:val="0"/>
              <w:marRight w:val="0"/>
              <w:marTop w:val="0"/>
              <w:marBottom w:val="0"/>
              <w:divBdr>
                <w:top w:val="none" w:sz="0" w:space="0" w:color="auto"/>
                <w:left w:val="none" w:sz="0" w:space="0" w:color="auto"/>
                <w:bottom w:val="none" w:sz="0" w:space="0" w:color="auto"/>
                <w:right w:val="none" w:sz="0" w:space="0" w:color="auto"/>
              </w:divBdr>
            </w:div>
          </w:divsChild>
        </w:div>
        <w:div w:id="857886925">
          <w:marLeft w:val="0"/>
          <w:marRight w:val="0"/>
          <w:marTop w:val="0"/>
          <w:marBottom w:val="0"/>
          <w:divBdr>
            <w:top w:val="none" w:sz="0" w:space="0" w:color="auto"/>
            <w:left w:val="none" w:sz="0" w:space="0" w:color="auto"/>
            <w:bottom w:val="none" w:sz="0" w:space="0" w:color="auto"/>
            <w:right w:val="none" w:sz="0" w:space="0" w:color="auto"/>
          </w:divBdr>
          <w:divsChild>
            <w:div w:id="1285161969">
              <w:marLeft w:val="0"/>
              <w:marRight w:val="0"/>
              <w:marTop w:val="0"/>
              <w:marBottom w:val="0"/>
              <w:divBdr>
                <w:top w:val="none" w:sz="0" w:space="0" w:color="auto"/>
                <w:left w:val="none" w:sz="0" w:space="0" w:color="auto"/>
                <w:bottom w:val="none" w:sz="0" w:space="0" w:color="auto"/>
                <w:right w:val="none" w:sz="0" w:space="0" w:color="auto"/>
              </w:divBdr>
            </w:div>
          </w:divsChild>
        </w:div>
        <w:div w:id="870847808">
          <w:marLeft w:val="0"/>
          <w:marRight w:val="0"/>
          <w:marTop w:val="0"/>
          <w:marBottom w:val="0"/>
          <w:divBdr>
            <w:top w:val="none" w:sz="0" w:space="0" w:color="auto"/>
            <w:left w:val="none" w:sz="0" w:space="0" w:color="auto"/>
            <w:bottom w:val="none" w:sz="0" w:space="0" w:color="auto"/>
            <w:right w:val="none" w:sz="0" w:space="0" w:color="auto"/>
          </w:divBdr>
          <w:divsChild>
            <w:div w:id="996567289">
              <w:marLeft w:val="0"/>
              <w:marRight w:val="0"/>
              <w:marTop w:val="0"/>
              <w:marBottom w:val="0"/>
              <w:divBdr>
                <w:top w:val="none" w:sz="0" w:space="0" w:color="auto"/>
                <w:left w:val="none" w:sz="0" w:space="0" w:color="auto"/>
                <w:bottom w:val="none" w:sz="0" w:space="0" w:color="auto"/>
                <w:right w:val="none" w:sz="0" w:space="0" w:color="auto"/>
              </w:divBdr>
            </w:div>
          </w:divsChild>
        </w:div>
        <w:div w:id="876546807">
          <w:marLeft w:val="0"/>
          <w:marRight w:val="0"/>
          <w:marTop w:val="0"/>
          <w:marBottom w:val="0"/>
          <w:divBdr>
            <w:top w:val="none" w:sz="0" w:space="0" w:color="auto"/>
            <w:left w:val="none" w:sz="0" w:space="0" w:color="auto"/>
            <w:bottom w:val="none" w:sz="0" w:space="0" w:color="auto"/>
            <w:right w:val="none" w:sz="0" w:space="0" w:color="auto"/>
          </w:divBdr>
          <w:divsChild>
            <w:div w:id="1677612920">
              <w:marLeft w:val="0"/>
              <w:marRight w:val="0"/>
              <w:marTop w:val="0"/>
              <w:marBottom w:val="0"/>
              <w:divBdr>
                <w:top w:val="none" w:sz="0" w:space="0" w:color="auto"/>
                <w:left w:val="none" w:sz="0" w:space="0" w:color="auto"/>
                <w:bottom w:val="none" w:sz="0" w:space="0" w:color="auto"/>
                <w:right w:val="none" w:sz="0" w:space="0" w:color="auto"/>
              </w:divBdr>
            </w:div>
          </w:divsChild>
        </w:div>
        <w:div w:id="893277188">
          <w:marLeft w:val="0"/>
          <w:marRight w:val="0"/>
          <w:marTop w:val="0"/>
          <w:marBottom w:val="0"/>
          <w:divBdr>
            <w:top w:val="none" w:sz="0" w:space="0" w:color="auto"/>
            <w:left w:val="none" w:sz="0" w:space="0" w:color="auto"/>
            <w:bottom w:val="none" w:sz="0" w:space="0" w:color="auto"/>
            <w:right w:val="none" w:sz="0" w:space="0" w:color="auto"/>
          </w:divBdr>
          <w:divsChild>
            <w:div w:id="1473867945">
              <w:marLeft w:val="0"/>
              <w:marRight w:val="0"/>
              <w:marTop w:val="0"/>
              <w:marBottom w:val="0"/>
              <w:divBdr>
                <w:top w:val="none" w:sz="0" w:space="0" w:color="auto"/>
                <w:left w:val="none" w:sz="0" w:space="0" w:color="auto"/>
                <w:bottom w:val="none" w:sz="0" w:space="0" w:color="auto"/>
                <w:right w:val="none" w:sz="0" w:space="0" w:color="auto"/>
              </w:divBdr>
            </w:div>
          </w:divsChild>
        </w:div>
        <w:div w:id="897399615">
          <w:marLeft w:val="0"/>
          <w:marRight w:val="0"/>
          <w:marTop w:val="0"/>
          <w:marBottom w:val="0"/>
          <w:divBdr>
            <w:top w:val="none" w:sz="0" w:space="0" w:color="auto"/>
            <w:left w:val="none" w:sz="0" w:space="0" w:color="auto"/>
            <w:bottom w:val="none" w:sz="0" w:space="0" w:color="auto"/>
            <w:right w:val="none" w:sz="0" w:space="0" w:color="auto"/>
          </w:divBdr>
          <w:divsChild>
            <w:div w:id="331959036">
              <w:marLeft w:val="0"/>
              <w:marRight w:val="0"/>
              <w:marTop w:val="0"/>
              <w:marBottom w:val="0"/>
              <w:divBdr>
                <w:top w:val="none" w:sz="0" w:space="0" w:color="auto"/>
                <w:left w:val="none" w:sz="0" w:space="0" w:color="auto"/>
                <w:bottom w:val="none" w:sz="0" w:space="0" w:color="auto"/>
                <w:right w:val="none" w:sz="0" w:space="0" w:color="auto"/>
              </w:divBdr>
            </w:div>
          </w:divsChild>
        </w:div>
        <w:div w:id="905607574">
          <w:marLeft w:val="0"/>
          <w:marRight w:val="0"/>
          <w:marTop w:val="0"/>
          <w:marBottom w:val="0"/>
          <w:divBdr>
            <w:top w:val="none" w:sz="0" w:space="0" w:color="auto"/>
            <w:left w:val="none" w:sz="0" w:space="0" w:color="auto"/>
            <w:bottom w:val="none" w:sz="0" w:space="0" w:color="auto"/>
            <w:right w:val="none" w:sz="0" w:space="0" w:color="auto"/>
          </w:divBdr>
          <w:divsChild>
            <w:div w:id="1008872836">
              <w:marLeft w:val="0"/>
              <w:marRight w:val="0"/>
              <w:marTop w:val="0"/>
              <w:marBottom w:val="0"/>
              <w:divBdr>
                <w:top w:val="none" w:sz="0" w:space="0" w:color="auto"/>
                <w:left w:val="none" w:sz="0" w:space="0" w:color="auto"/>
                <w:bottom w:val="none" w:sz="0" w:space="0" w:color="auto"/>
                <w:right w:val="none" w:sz="0" w:space="0" w:color="auto"/>
              </w:divBdr>
            </w:div>
          </w:divsChild>
        </w:div>
        <w:div w:id="949163178">
          <w:marLeft w:val="0"/>
          <w:marRight w:val="0"/>
          <w:marTop w:val="0"/>
          <w:marBottom w:val="0"/>
          <w:divBdr>
            <w:top w:val="none" w:sz="0" w:space="0" w:color="auto"/>
            <w:left w:val="none" w:sz="0" w:space="0" w:color="auto"/>
            <w:bottom w:val="none" w:sz="0" w:space="0" w:color="auto"/>
            <w:right w:val="none" w:sz="0" w:space="0" w:color="auto"/>
          </w:divBdr>
          <w:divsChild>
            <w:div w:id="1165705682">
              <w:marLeft w:val="0"/>
              <w:marRight w:val="0"/>
              <w:marTop w:val="0"/>
              <w:marBottom w:val="0"/>
              <w:divBdr>
                <w:top w:val="none" w:sz="0" w:space="0" w:color="auto"/>
                <w:left w:val="none" w:sz="0" w:space="0" w:color="auto"/>
                <w:bottom w:val="none" w:sz="0" w:space="0" w:color="auto"/>
                <w:right w:val="none" w:sz="0" w:space="0" w:color="auto"/>
              </w:divBdr>
            </w:div>
          </w:divsChild>
        </w:div>
        <w:div w:id="972101161">
          <w:marLeft w:val="0"/>
          <w:marRight w:val="0"/>
          <w:marTop w:val="0"/>
          <w:marBottom w:val="0"/>
          <w:divBdr>
            <w:top w:val="none" w:sz="0" w:space="0" w:color="auto"/>
            <w:left w:val="none" w:sz="0" w:space="0" w:color="auto"/>
            <w:bottom w:val="none" w:sz="0" w:space="0" w:color="auto"/>
            <w:right w:val="none" w:sz="0" w:space="0" w:color="auto"/>
          </w:divBdr>
          <w:divsChild>
            <w:div w:id="986133572">
              <w:marLeft w:val="0"/>
              <w:marRight w:val="0"/>
              <w:marTop w:val="0"/>
              <w:marBottom w:val="0"/>
              <w:divBdr>
                <w:top w:val="none" w:sz="0" w:space="0" w:color="auto"/>
                <w:left w:val="none" w:sz="0" w:space="0" w:color="auto"/>
                <w:bottom w:val="none" w:sz="0" w:space="0" w:color="auto"/>
                <w:right w:val="none" w:sz="0" w:space="0" w:color="auto"/>
              </w:divBdr>
            </w:div>
          </w:divsChild>
        </w:div>
        <w:div w:id="1021975207">
          <w:marLeft w:val="0"/>
          <w:marRight w:val="0"/>
          <w:marTop w:val="0"/>
          <w:marBottom w:val="0"/>
          <w:divBdr>
            <w:top w:val="none" w:sz="0" w:space="0" w:color="auto"/>
            <w:left w:val="none" w:sz="0" w:space="0" w:color="auto"/>
            <w:bottom w:val="none" w:sz="0" w:space="0" w:color="auto"/>
            <w:right w:val="none" w:sz="0" w:space="0" w:color="auto"/>
          </w:divBdr>
          <w:divsChild>
            <w:div w:id="76051486">
              <w:marLeft w:val="0"/>
              <w:marRight w:val="0"/>
              <w:marTop w:val="0"/>
              <w:marBottom w:val="0"/>
              <w:divBdr>
                <w:top w:val="none" w:sz="0" w:space="0" w:color="auto"/>
                <w:left w:val="none" w:sz="0" w:space="0" w:color="auto"/>
                <w:bottom w:val="none" w:sz="0" w:space="0" w:color="auto"/>
                <w:right w:val="none" w:sz="0" w:space="0" w:color="auto"/>
              </w:divBdr>
            </w:div>
          </w:divsChild>
        </w:div>
        <w:div w:id="1033728521">
          <w:marLeft w:val="0"/>
          <w:marRight w:val="0"/>
          <w:marTop w:val="0"/>
          <w:marBottom w:val="0"/>
          <w:divBdr>
            <w:top w:val="none" w:sz="0" w:space="0" w:color="auto"/>
            <w:left w:val="none" w:sz="0" w:space="0" w:color="auto"/>
            <w:bottom w:val="none" w:sz="0" w:space="0" w:color="auto"/>
            <w:right w:val="none" w:sz="0" w:space="0" w:color="auto"/>
          </w:divBdr>
          <w:divsChild>
            <w:div w:id="95179350">
              <w:marLeft w:val="0"/>
              <w:marRight w:val="0"/>
              <w:marTop w:val="0"/>
              <w:marBottom w:val="0"/>
              <w:divBdr>
                <w:top w:val="none" w:sz="0" w:space="0" w:color="auto"/>
                <w:left w:val="none" w:sz="0" w:space="0" w:color="auto"/>
                <w:bottom w:val="none" w:sz="0" w:space="0" w:color="auto"/>
                <w:right w:val="none" w:sz="0" w:space="0" w:color="auto"/>
              </w:divBdr>
            </w:div>
          </w:divsChild>
        </w:div>
        <w:div w:id="1048066618">
          <w:marLeft w:val="0"/>
          <w:marRight w:val="0"/>
          <w:marTop w:val="0"/>
          <w:marBottom w:val="0"/>
          <w:divBdr>
            <w:top w:val="none" w:sz="0" w:space="0" w:color="auto"/>
            <w:left w:val="none" w:sz="0" w:space="0" w:color="auto"/>
            <w:bottom w:val="none" w:sz="0" w:space="0" w:color="auto"/>
            <w:right w:val="none" w:sz="0" w:space="0" w:color="auto"/>
          </w:divBdr>
          <w:divsChild>
            <w:div w:id="325867965">
              <w:marLeft w:val="0"/>
              <w:marRight w:val="0"/>
              <w:marTop w:val="0"/>
              <w:marBottom w:val="0"/>
              <w:divBdr>
                <w:top w:val="none" w:sz="0" w:space="0" w:color="auto"/>
                <w:left w:val="none" w:sz="0" w:space="0" w:color="auto"/>
                <w:bottom w:val="none" w:sz="0" w:space="0" w:color="auto"/>
                <w:right w:val="none" w:sz="0" w:space="0" w:color="auto"/>
              </w:divBdr>
            </w:div>
          </w:divsChild>
        </w:div>
        <w:div w:id="1049841779">
          <w:marLeft w:val="0"/>
          <w:marRight w:val="0"/>
          <w:marTop w:val="0"/>
          <w:marBottom w:val="0"/>
          <w:divBdr>
            <w:top w:val="none" w:sz="0" w:space="0" w:color="auto"/>
            <w:left w:val="none" w:sz="0" w:space="0" w:color="auto"/>
            <w:bottom w:val="none" w:sz="0" w:space="0" w:color="auto"/>
            <w:right w:val="none" w:sz="0" w:space="0" w:color="auto"/>
          </w:divBdr>
          <w:divsChild>
            <w:div w:id="243415169">
              <w:marLeft w:val="0"/>
              <w:marRight w:val="0"/>
              <w:marTop w:val="0"/>
              <w:marBottom w:val="0"/>
              <w:divBdr>
                <w:top w:val="none" w:sz="0" w:space="0" w:color="auto"/>
                <w:left w:val="none" w:sz="0" w:space="0" w:color="auto"/>
                <w:bottom w:val="none" w:sz="0" w:space="0" w:color="auto"/>
                <w:right w:val="none" w:sz="0" w:space="0" w:color="auto"/>
              </w:divBdr>
            </w:div>
          </w:divsChild>
        </w:div>
        <w:div w:id="1056587396">
          <w:marLeft w:val="0"/>
          <w:marRight w:val="0"/>
          <w:marTop w:val="0"/>
          <w:marBottom w:val="0"/>
          <w:divBdr>
            <w:top w:val="none" w:sz="0" w:space="0" w:color="auto"/>
            <w:left w:val="none" w:sz="0" w:space="0" w:color="auto"/>
            <w:bottom w:val="none" w:sz="0" w:space="0" w:color="auto"/>
            <w:right w:val="none" w:sz="0" w:space="0" w:color="auto"/>
          </w:divBdr>
          <w:divsChild>
            <w:div w:id="2112705316">
              <w:marLeft w:val="0"/>
              <w:marRight w:val="0"/>
              <w:marTop w:val="0"/>
              <w:marBottom w:val="0"/>
              <w:divBdr>
                <w:top w:val="none" w:sz="0" w:space="0" w:color="auto"/>
                <w:left w:val="none" w:sz="0" w:space="0" w:color="auto"/>
                <w:bottom w:val="none" w:sz="0" w:space="0" w:color="auto"/>
                <w:right w:val="none" w:sz="0" w:space="0" w:color="auto"/>
              </w:divBdr>
            </w:div>
          </w:divsChild>
        </w:div>
        <w:div w:id="1065564189">
          <w:marLeft w:val="0"/>
          <w:marRight w:val="0"/>
          <w:marTop w:val="0"/>
          <w:marBottom w:val="0"/>
          <w:divBdr>
            <w:top w:val="none" w:sz="0" w:space="0" w:color="auto"/>
            <w:left w:val="none" w:sz="0" w:space="0" w:color="auto"/>
            <w:bottom w:val="none" w:sz="0" w:space="0" w:color="auto"/>
            <w:right w:val="none" w:sz="0" w:space="0" w:color="auto"/>
          </w:divBdr>
          <w:divsChild>
            <w:div w:id="1073547036">
              <w:marLeft w:val="0"/>
              <w:marRight w:val="0"/>
              <w:marTop w:val="0"/>
              <w:marBottom w:val="0"/>
              <w:divBdr>
                <w:top w:val="none" w:sz="0" w:space="0" w:color="auto"/>
                <w:left w:val="none" w:sz="0" w:space="0" w:color="auto"/>
                <w:bottom w:val="none" w:sz="0" w:space="0" w:color="auto"/>
                <w:right w:val="none" w:sz="0" w:space="0" w:color="auto"/>
              </w:divBdr>
            </w:div>
          </w:divsChild>
        </w:div>
        <w:div w:id="1085146736">
          <w:marLeft w:val="0"/>
          <w:marRight w:val="0"/>
          <w:marTop w:val="0"/>
          <w:marBottom w:val="0"/>
          <w:divBdr>
            <w:top w:val="none" w:sz="0" w:space="0" w:color="auto"/>
            <w:left w:val="none" w:sz="0" w:space="0" w:color="auto"/>
            <w:bottom w:val="none" w:sz="0" w:space="0" w:color="auto"/>
            <w:right w:val="none" w:sz="0" w:space="0" w:color="auto"/>
          </w:divBdr>
          <w:divsChild>
            <w:div w:id="932979166">
              <w:marLeft w:val="0"/>
              <w:marRight w:val="0"/>
              <w:marTop w:val="0"/>
              <w:marBottom w:val="0"/>
              <w:divBdr>
                <w:top w:val="none" w:sz="0" w:space="0" w:color="auto"/>
                <w:left w:val="none" w:sz="0" w:space="0" w:color="auto"/>
                <w:bottom w:val="none" w:sz="0" w:space="0" w:color="auto"/>
                <w:right w:val="none" w:sz="0" w:space="0" w:color="auto"/>
              </w:divBdr>
            </w:div>
          </w:divsChild>
        </w:div>
        <w:div w:id="1120995192">
          <w:marLeft w:val="0"/>
          <w:marRight w:val="0"/>
          <w:marTop w:val="0"/>
          <w:marBottom w:val="0"/>
          <w:divBdr>
            <w:top w:val="none" w:sz="0" w:space="0" w:color="auto"/>
            <w:left w:val="none" w:sz="0" w:space="0" w:color="auto"/>
            <w:bottom w:val="none" w:sz="0" w:space="0" w:color="auto"/>
            <w:right w:val="none" w:sz="0" w:space="0" w:color="auto"/>
          </w:divBdr>
          <w:divsChild>
            <w:div w:id="310014912">
              <w:marLeft w:val="0"/>
              <w:marRight w:val="0"/>
              <w:marTop w:val="0"/>
              <w:marBottom w:val="0"/>
              <w:divBdr>
                <w:top w:val="none" w:sz="0" w:space="0" w:color="auto"/>
                <w:left w:val="none" w:sz="0" w:space="0" w:color="auto"/>
                <w:bottom w:val="none" w:sz="0" w:space="0" w:color="auto"/>
                <w:right w:val="none" w:sz="0" w:space="0" w:color="auto"/>
              </w:divBdr>
            </w:div>
          </w:divsChild>
        </w:div>
        <w:div w:id="1164509728">
          <w:marLeft w:val="0"/>
          <w:marRight w:val="0"/>
          <w:marTop w:val="0"/>
          <w:marBottom w:val="0"/>
          <w:divBdr>
            <w:top w:val="none" w:sz="0" w:space="0" w:color="auto"/>
            <w:left w:val="none" w:sz="0" w:space="0" w:color="auto"/>
            <w:bottom w:val="none" w:sz="0" w:space="0" w:color="auto"/>
            <w:right w:val="none" w:sz="0" w:space="0" w:color="auto"/>
          </w:divBdr>
          <w:divsChild>
            <w:div w:id="1101678432">
              <w:marLeft w:val="0"/>
              <w:marRight w:val="0"/>
              <w:marTop w:val="0"/>
              <w:marBottom w:val="0"/>
              <w:divBdr>
                <w:top w:val="none" w:sz="0" w:space="0" w:color="auto"/>
                <w:left w:val="none" w:sz="0" w:space="0" w:color="auto"/>
                <w:bottom w:val="none" w:sz="0" w:space="0" w:color="auto"/>
                <w:right w:val="none" w:sz="0" w:space="0" w:color="auto"/>
              </w:divBdr>
            </w:div>
          </w:divsChild>
        </w:div>
        <w:div w:id="1190340510">
          <w:marLeft w:val="0"/>
          <w:marRight w:val="0"/>
          <w:marTop w:val="0"/>
          <w:marBottom w:val="0"/>
          <w:divBdr>
            <w:top w:val="none" w:sz="0" w:space="0" w:color="auto"/>
            <w:left w:val="none" w:sz="0" w:space="0" w:color="auto"/>
            <w:bottom w:val="none" w:sz="0" w:space="0" w:color="auto"/>
            <w:right w:val="none" w:sz="0" w:space="0" w:color="auto"/>
          </w:divBdr>
          <w:divsChild>
            <w:div w:id="1709186062">
              <w:marLeft w:val="0"/>
              <w:marRight w:val="0"/>
              <w:marTop w:val="0"/>
              <w:marBottom w:val="0"/>
              <w:divBdr>
                <w:top w:val="none" w:sz="0" w:space="0" w:color="auto"/>
                <w:left w:val="none" w:sz="0" w:space="0" w:color="auto"/>
                <w:bottom w:val="none" w:sz="0" w:space="0" w:color="auto"/>
                <w:right w:val="none" w:sz="0" w:space="0" w:color="auto"/>
              </w:divBdr>
            </w:div>
          </w:divsChild>
        </w:div>
        <w:div w:id="1197625704">
          <w:marLeft w:val="0"/>
          <w:marRight w:val="0"/>
          <w:marTop w:val="0"/>
          <w:marBottom w:val="0"/>
          <w:divBdr>
            <w:top w:val="none" w:sz="0" w:space="0" w:color="auto"/>
            <w:left w:val="none" w:sz="0" w:space="0" w:color="auto"/>
            <w:bottom w:val="none" w:sz="0" w:space="0" w:color="auto"/>
            <w:right w:val="none" w:sz="0" w:space="0" w:color="auto"/>
          </w:divBdr>
          <w:divsChild>
            <w:div w:id="1744831774">
              <w:marLeft w:val="0"/>
              <w:marRight w:val="0"/>
              <w:marTop w:val="0"/>
              <w:marBottom w:val="0"/>
              <w:divBdr>
                <w:top w:val="none" w:sz="0" w:space="0" w:color="auto"/>
                <w:left w:val="none" w:sz="0" w:space="0" w:color="auto"/>
                <w:bottom w:val="none" w:sz="0" w:space="0" w:color="auto"/>
                <w:right w:val="none" w:sz="0" w:space="0" w:color="auto"/>
              </w:divBdr>
            </w:div>
          </w:divsChild>
        </w:div>
        <w:div w:id="1205942157">
          <w:marLeft w:val="0"/>
          <w:marRight w:val="0"/>
          <w:marTop w:val="0"/>
          <w:marBottom w:val="0"/>
          <w:divBdr>
            <w:top w:val="none" w:sz="0" w:space="0" w:color="auto"/>
            <w:left w:val="none" w:sz="0" w:space="0" w:color="auto"/>
            <w:bottom w:val="none" w:sz="0" w:space="0" w:color="auto"/>
            <w:right w:val="none" w:sz="0" w:space="0" w:color="auto"/>
          </w:divBdr>
          <w:divsChild>
            <w:div w:id="516310006">
              <w:marLeft w:val="0"/>
              <w:marRight w:val="0"/>
              <w:marTop w:val="0"/>
              <w:marBottom w:val="0"/>
              <w:divBdr>
                <w:top w:val="none" w:sz="0" w:space="0" w:color="auto"/>
                <w:left w:val="none" w:sz="0" w:space="0" w:color="auto"/>
                <w:bottom w:val="none" w:sz="0" w:space="0" w:color="auto"/>
                <w:right w:val="none" w:sz="0" w:space="0" w:color="auto"/>
              </w:divBdr>
            </w:div>
          </w:divsChild>
        </w:div>
        <w:div w:id="1236360166">
          <w:marLeft w:val="0"/>
          <w:marRight w:val="0"/>
          <w:marTop w:val="0"/>
          <w:marBottom w:val="0"/>
          <w:divBdr>
            <w:top w:val="none" w:sz="0" w:space="0" w:color="auto"/>
            <w:left w:val="none" w:sz="0" w:space="0" w:color="auto"/>
            <w:bottom w:val="none" w:sz="0" w:space="0" w:color="auto"/>
            <w:right w:val="none" w:sz="0" w:space="0" w:color="auto"/>
          </w:divBdr>
          <w:divsChild>
            <w:div w:id="1586649580">
              <w:marLeft w:val="0"/>
              <w:marRight w:val="0"/>
              <w:marTop w:val="0"/>
              <w:marBottom w:val="0"/>
              <w:divBdr>
                <w:top w:val="none" w:sz="0" w:space="0" w:color="auto"/>
                <w:left w:val="none" w:sz="0" w:space="0" w:color="auto"/>
                <w:bottom w:val="none" w:sz="0" w:space="0" w:color="auto"/>
                <w:right w:val="none" w:sz="0" w:space="0" w:color="auto"/>
              </w:divBdr>
            </w:div>
          </w:divsChild>
        </w:div>
        <w:div w:id="1240286090">
          <w:marLeft w:val="0"/>
          <w:marRight w:val="0"/>
          <w:marTop w:val="0"/>
          <w:marBottom w:val="0"/>
          <w:divBdr>
            <w:top w:val="none" w:sz="0" w:space="0" w:color="auto"/>
            <w:left w:val="none" w:sz="0" w:space="0" w:color="auto"/>
            <w:bottom w:val="none" w:sz="0" w:space="0" w:color="auto"/>
            <w:right w:val="none" w:sz="0" w:space="0" w:color="auto"/>
          </w:divBdr>
          <w:divsChild>
            <w:div w:id="1050956951">
              <w:marLeft w:val="0"/>
              <w:marRight w:val="0"/>
              <w:marTop w:val="0"/>
              <w:marBottom w:val="0"/>
              <w:divBdr>
                <w:top w:val="none" w:sz="0" w:space="0" w:color="auto"/>
                <w:left w:val="none" w:sz="0" w:space="0" w:color="auto"/>
                <w:bottom w:val="none" w:sz="0" w:space="0" w:color="auto"/>
                <w:right w:val="none" w:sz="0" w:space="0" w:color="auto"/>
              </w:divBdr>
            </w:div>
          </w:divsChild>
        </w:div>
        <w:div w:id="1273786367">
          <w:marLeft w:val="0"/>
          <w:marRight w:val="0"/>
          <w:marTop w:val="0"/>
          <w:marBottom w:val="0"/>
          <w:divBdr>
            <w:top w:val="none" w:sz="0" w:space="0" w:color="auto"/>
            <w:left w:val="none" w:sz="0" w:space="0" w:color="auto"/>
            <w:bottom w:val="none" w:sz="0" w:space="0" w:color="auto"/>
            <w:right w:val="none" w:sz="0" w:space="0" w:color="auto"/>
          </w:divBdr>
          <w:divsChild>
            <w:div w:id="2121561138">
              <w:marLeft w:val="0"/>
              <w:marRight w:val="0"/>
              <w:marTop w:val="0"/>
              <w:marBottom w:val="0"/>
              <w:divBdr>
                <w:top w:val="none" w:sz="0" w:space="0" w:color="auto"/>
                <w:left w:val="none" w:sz="0" w:space="0" w:color="auto"/>
                <w:bottom w:val="none" w:sz="0" w:space="0" w:color="auto"/>
                <w:right w:val="none" w:sz="0" w:space="0" w:color="auto"/>
              </w:divBdr>
            </w:div>
          </w:divsChild>
        </w:div>
        <w:div w:id="1281301441">
          <w:marLeft w:val="0"/>
          <w:marRight w:val="0"/>
          <w:marTop w:val="0"/>
          <w:marBottom w:val="0"/>
          <w:divBdr>
            <w:top w:val="none" w:sz="0" w:space="0" w:color="auto"/>
            <w:left w:val="none" w:sz="0" w:space="0" w:color="auto"/>
            <w:bottom w:val="none" w:sz="0" w:space="0" w:color="auto"/>
            <w:right w:val="none" w:sz="0" w:space="0" w:color="auto"/>
          </w:divBdr>
          <w:divsChild>
            <w:div w:id="1743408862">
              <w:marLeft w:val="0"/>
              <w:marRight w:val="0"/>
              <w:marTop w:val="0"/>
              <w:marBottom w:val="0"/>
              <w:divBdr>
                <w:top w:val="none" w:sz="0" w:space="0" w:color="auto"/>
                <w:left w:val="none" w:sz="0" w:space="0" w:color="auto"/>
                <w:bottom w:val="none" w:sz="0" w:space="0" w:color="auto"/>
                <w:right w:val="none" w:sz="0" w:space="0" w:color="auto"/>
              </w:divBdr>
            </w:div>
          </w:divsChild>
        </w:div>
        <w:div w:id="1294022133">
          <w:marLeft w:val="0"/>
          <w:marRight w:val="0"/>
          <w:marTop w:val="0"/>
          <w:marBottom w:val="0"/>
          <w:divBdr>
            <w:top w:val="none" w:sz="0" w:space="0" w:color="auto"/>
            <w:left w:val="none" w:sz="0" w:space="0" w:color="auto"/>
            <w:bottom w:val="none" w:sz="0" w:space="0" w:color="auto"/>
            <w:right w:val="none" w:sz="0" w:space="0" w:color="auto"/>
          </w:divBdr>
          <w:divsChild>
            <w:div w:id="813792160">
              <w:marLeft w:val="0"/>
              <w:marRight w:val="0"/>
              <w:marTop w:val="0"/>
              <w:marBottom w:val="0"/>
              <w:divBdr>
                <w:top w:val="none" w:sz="0" w:space="0" w:color="auto"/>
                <w:left w:val="none" w:sz="0" w:space="0" w:color="auto"/>
                <w:bottom w:val="none" w:sz="0" w:space="0" w:color="auto"/>
                <w:right w:val="none" w:sz="0" w:space="0" w:color="auto"/>
              </w:divBdr>
            </w:div>
          </w:divsChild>
        </w:div>
        <w:div w:id="1302736049">
          <w:marLeft w:val="0"/>
          <w:marRight w:val="0"/>
          <w:marTop w:val="0"/>
          <w:marBottom w:val="0"/>
          <w:divBdr>
            <w:top w:val="none" w:sz="0" w:space="0" w:color="auto"/>
            <w:left w:val="none" w:sz="0" w:space="0" w:color="auto"/>
            <w:bottom w:val="none" w:sz="0" w:space="0" w:color="auto"/>
            <w:right w:val="none" w:sz="0" w:space="0" w:color="auto"/>
          </w:divBdr>
          <w:divsChild>
            <w:div w:id="897521678">
              <w:marLeft w:val="0"/>
              <w:marRight w:val="0"/>
              <w:marTop w:val="0"/>
              <w:marBottom w:val="0"/>
              <w:divBdr>
                <w:top w:val="none" w:sz="0" w:space="0" w:color="auto"/>
                <w:left w:val="none" w:sz="0" w:space="0" w:color="auto"/>
                <w:bottom w:val="none" w:sz="0" w:space="0" w:color="auto"/>
                <w:right w:val="none" w:sz="0" w:space="0" w:color="auto"/>
              </w:divBdr>
            </w:div>
          </w:divsChild>
        </w:div>
        <w:div w:id="1313755519">
          <w:marLeft w:val="0"/>
          <w:marRight w:val="0"/>
          <w:marTop w:val="0"/>
          <w:marBottom w:val="0"/>
          <w:divBdr>
            <w:top w:val="none" w:sz="0" w:space="0" w:color="auto"/>
            <w:left w:val="none" w:sz="0" w:space="0" w:color="auto"/>
            <w:bottom w:val="none" w:sz="0" w:space="0" w:color="auto"/>
            <w:right w:val="none" w:sz="0" w:space="0" w:color="auto"/>
          </w:divBdr>
          <w:divsChild>
            <w:div w:id="1551072654">
              <w:marLeft w:val="0"/>
              <w:marRight w:val="0"/>
              <w:marTop w:val="0"/>
              <w:marBottom w:val="0"/>
              <w:divBdr>
                <w:top w:val="none" w:sz="0" w:space="0" w:color="auto"/>
                <w:left w:val="none" w:sz="0" w:space="0" w:color="auto"/>
                <w:bottom w:val="none" w:sz="0" w:space="0" w:color="auto"/>
                <w:right w:val="none" w:sz="0" w:space="0" w:color="auto"/>
              </w:divBdr>
            </w:div>
          </w:divsChild>
        </w:div>
        <w:div w:id="1314875656">
          <w:marLeft w:val="0"/>
          <w:marRight w:val="0"/>
          <w:marTop w:val="0"/>
          <w:marBottom w:val="0"/>
          <w:divBdr>
            <w:top w:val="none" w:sz="0" w:space="0" w:color="auto"/>
            <w:left w:val="none" w:sz="0" w:space="0" w:color="auto"/>
            <w:bottom w:val="none" w:sz="0" w:space="0" w:color="auto"/>
            <w:right w:val="none" w:sz="0" w:space="0" w:color="auto"/>
          </w:divBdr>
          <w:divsChild>
            <w:div w:id="1318655643">
              <w:marLeft w:val="0"/>
              <w:marRight w:val="0"/>
              <w:marTop w:val="0"/>
              <w:marBottom w:val="0"/>
              <w:divBdr>
                <w:top w:val="none" w:sz="0" w:space="0" w:color="auto"/>
                <w:left w:val="none" w:sz="0" w:space="0" w:color="auto"/>
                <w:bottom w:val="none" w:sz="0" w:space="0" w:color="auto"/>
                <w:right w:val="none" w:sz="0" w:space="0" w:color="auto"/>
              </w:divBdr>
            </w:div>
          </w:divsChild>
        </w:div>
        <w:div w:id="1326667137">
          <w:marLeft w:val="0"/>
          <w:marRight w:val="0"/>
          <w:marTop w:val="0"/>
          <w:marBottom w:val="0"/>
          <w:divBdr>
            <w:top w:val="none" w:sz="0" w:space="0" w:color="auto"/>
            <w:left w:val="none" w:sz="0" w:space="0" w:color="auto"/>
            <w:bottom w:val="none" w:sz="0" w:space="0" w:color="auto"/>
            <w:right w:val="none" w:sz="0" w:space="0" w:color="auto"/>
          </w:divBdr>
          <w:divsChild>
            <w:div w:id="1110584865">
              <w:marLeft w:val="0"/>
              <w:marRight w:val="0"/>
              <w:marTop w:val="0"/>
              <w:marBottom w:val="0"/>
              <w:divBdr>
                <w:top w:val="none" w:sz="0" w:space="0" w:color="auto"/>
                <w:left w:val="none" w:sz="0" w:space="0" w:color="auto"/>
                <w:bottom w:val="none" w:sz="0" w:space="0" w:color="auto"/>
                <w:right w:val="none" w:sz="0" w:space="0" w:color="auto"/>
              </w:divBdr>
            </w:div>
          </w:divsChild>
        </w:div>
        <w:div w:id="1338461425">
          <w:marLeft w:val="0"/>
          <w:marRight w:val="0"/>
          <w:marTop w:val="0"/>
          <w:marBottom w:val="0"/>
          <w:divBdr>
            <w:top w:val="none" w:sz="0" w:space="0" w:color="auto"/>
            <w:left w:val="none" w:sz="0" w:space="0" w:color="auto"/>
            <w:bottom w:val="none" w:sz="0" w:space="0" w:color="auto"/>
            <w:right w:val="none" w:sz="0" w:space="0" w:color="auto"/>
          </w:divBdr>
          <w:divsChild>
            <w:div w:id="690450622">
              <w:marLeft w:val="0"/>
              <w:marRight w:val="0"/>
              <w:marTop w:val="0"/>
              <w:marBottom w:val="0"/>
              <w:divBdr>
                <w:top w:val="none" w:sz="0" w:space="0" w:color="auto"/>
                <w:left w:val="none" w:sz="0" w:space="0" w:color="auto"/>
                <w:bottom w:val="none" w:sz="0" w:space="0" w:color="auto"/>
                <w:right w:val="none" w:sz="0" w:space="0" w:color="auto"/>
              </w:divBdr>
            </w:div>
          </w:divsChild>
        </w:div>
        <w:div w:id="1392924946">
          <w:marLeft w:val="0"/>
          <w:marRight w:val="0"/>
          <w:marTop w:val="0"/>
          <w:marBottom w:val="0"/>
          <w:divBdr>
            <w:top w:val="none" w:sz="0" w:space="0" w:color="auto"/>
            <w:left w:val="none" w:sz="0" w:space="0" w:color="auto"/>
            <w:bottom w:val="none" w:sz="0" w:space="0" w:color="auto"/>
            <w:right w:val="none" w:sz="0" w:space="0" w:color="auto"/>
          </w:divBdr>
          <w:divsChild>
            <w:div w:id="537741799">
              <w:marLeft w:val="0"/>
              <w:marRight w:val="0"/>
              <w:marTop w:val="0"/>
              <w:marBottom w:val="0"/>
              <w:divBdr>
                <w:top w:val="none" w:sz="0" w:space="0" w:color="auto"/>
                <w:left w:val="none" w:sz="0" w:space="0" w:color="auto"/>
                <w:bottom w:val="none" w:sz="0" w:space="0" w:color="auto"/>
                <w:right w:val="none" w:sz="0" w:space="0" w:color="auto"/>
              </w:divBdr>
            </w:div>
          </w:divsChild>
        </w:div>
        <w:div w:id="1394348049">
          <w:marLeft w:val="0"/>
          <w:marRight w:val="0"/>
          <w:marTop w:val="0"/>
          <w:marBottom w:val="0"/>
          <w:divBdr>
            <w:top w:val="none" w:sz="0" w:space="0" w:color="auto"/>
            <w:left w:val="none" w:sz="0" w:space="0" w:color="auto"/>
            <w:bottom w:val="none" w:sz="0" w:space="0" w:color="auto"/>
            <w:right w:val="none" w:sz="0" w:space="0" w:color="auto"/>
          </w:divBdr>
          <w:divsChild>
            <w:div w:id="795761913">
              <w:marLeft w:val="0"/>
              <w:marRight w:val="0"/>
              <w:marTop w:val="0"/>
              <w:marBottom w:val="0"/>
              <w:divBdr>
                <w:top w:val="none" w:sz="0" w:space="0" w:color="auto"/>
                <w:left w:val="none" w:sz="0" w:space="0" w:color="auto"/>
                <w:bottom w:val="none" w:sz="0" w:space="0" w:color="auto"/>
                <w:right w:val="none" w:sz="0" w:space="0" w:color="auto"/>
              </w:divBdr>
            </w:div>
          </w:divsChild>
        </w:div>
        <w:div w:id="1413770413">
          <w:marLeft w:val="0"/>
          <w:marRight w:val="0"/>
          <w:marTop w:val="0"/>
          <w:marBottom w:val="0"/>
          <w:divBdr>
            <w:top w:val="none" w:sz="0" w:space="0" w:color="auto"/>
            <w:left w:val="none" w:sz="0" w:space="0" w:color="auto"/>
            <w:bottom w:val="none" w:sz="0" w:space="0" w:color="auto"/>
            <w:right w:val="none" w:sz="0" w:space="0" w:color="auto"/>
          </w:divBdr>
          <w:divsChild>
            <w:div w:id="854270750">
              <w:marLeft w:val="0"/>
              <w:marRight w:val="0"/>
              <w:marTop w:val="0"/>
              <w:marBottom w:val="0"/>
              <w:divBdr>
                <w:top w:val="none" w:sz="0" w:space="0" w:color="auto"/>
                <w:left w:val="none" w:sz="0" w:space="0" w:color="auto"/>
                <w:bottom w:val="none" w:sz="0" w:space="0" w:color="auto"/>
                <w:right w:val="none" w:sz="0" w:space="0" w:color="auto"/>
              </w:divBdr>
            </w:div>
          </w:divsChild>
        </w:div>
        <w:div w:id="1415666697">
          <w:marLeft w:val="0"/>
          <w:marRight w:val="0"/>
          <w:marTop w:val="0"/>
          <w:marBottom w:val="0"/>
          <w:divBdr>
            <w:top w:val="none" w:sz="0" w:space="0" w:color="auto"/>
            <w:left w:val="none" w:sz="0" w:space="0" w:color="auto"/>
            <w:bottom w:val="none" w:sz="0" w:space="0" w:color="auto"/>
            <w:right w:val="none" w:sz="0" w:space="0" w:color="auto"/>
          </w:divBdr>
          <w:divsChild>
            <w:div w:id="1012537274">
              <w:marLeft w:val="0"/>
              <w:marRight w:val="0"/>
              <w:marTop w:val="0"/>
              <w:marBottom w:val="0"/>
              <w:divBdr>
                <w:top w:val="none" w:sz="0" w:space="0" w:color="auto"/>
                <w:left w:val="none" w:sz="0" w:space="0" w:color="auto"/>
                <w:bottom w:val="none" w:sz="0" w:space="0" w:color="auto"/>
                <w:right w:val="none" w:sz="0" w:space="0" w:color="auto"/>
              </w:divBdr>
            </w:div>
          </w:divsChild>
        </w:div>
        <w:div w:id="1442795612">
          <w:marLeft w:val="0"/>
          <w:marRight w:val="0"/>
          <w:marTop w:val="0"/>
          <w:marBottom w:val="0"/>
          <w:divBdr>
            <w:top w:val="none" w:sz="0" w:space="0" w:color="auto"/>
            <w:left w:val="none" w:sz="0" w:space="0" w:color="auto"/>
            <w:bottom w:val="none" w:sz="0" w:space="0" w:color="auto"/>
            <w:right w:val="none" w:sz="0" w:space="0" w:color="auto"/>
          </w:divBdr>
          <w:divsChild>
            <w:div w:id="54596528">
              <w:marLeft w:val="0"/>
              <w:marRight w:val="0"/>
              <w:marTop w:val="0"/>
              <w:marBottom w:val="0"/>
              <w:divBdr>
                <w:top w:val="none" w:sz="0" w:space="0" w:color="auto"/>
                <w:left w:val="none" w:sz="0" w:space="0" w:color="auto"/>
                <w:bottom w:val="none" w:sz="0" w:space="0" w:color="auto"/>
                <w:right w:val="none" w:sz="0" w:space="0" w:color="auto"/>
              </w:divBdr>
            </w:div>
          </w:divsChild>
        </w:div>
        <w:div w:id="1580410782">
          <w:marLeft w:val="0"/>
          <w:marRight w:val="0"/>
          <w:marTop w:val="0"/>
          <w:marBottom w:val="0"/>
          <w:divBdr>
            <w:top w:val="none" w:sz="0" w:space="0" w:color="auto"/>
            <w:left w:val="none" w:sz="0" w:space="0" w:color="auto"/>
            <w:bottom w:val="none" w:sz="0" w:space="0" w:color="auto"/>
            <w:right w:val="none" w:sz="0" w:space="0" w:color="auto"/>
          </w:divBdr>
          <w:divsChild>
            <w:div w:id="431243785">
              <w:marLeft w:val="0"/>
              <w:marRight w:val="0"/>
              <w:marTop w:val="0"/>
              <w:marBottom w:val="0"/>
              <w:divBdr>
                <w:top w:val="none" w:sz="0" w:space="0" w:color="auto"/>
                <w:left w:val="none" w:sz="0" w:space="0" w:color="auto"/>
                <w:bottom w:val="none" w:sz="0" w:space="0" w:color="auto"/>
                <w:right w:val="none" w:sz="0" w:space="0" w:color="auto"/>
              </w:divBdr>
            </w:div>
          </w:divsChild>
        </w:div>
        <w:div w:id="1681422919">
          <w:marLeft w:val="0"/>
          <w:marRight w:val="0"/>
          <w:marTop w:val="0"/>
          <w:marBottom w:val="0"/>
          <w:divBdr>
            <w:top w:val="none" w:sz="0" w:space="0" w:color="auto"/>
            <w:left w:val="none" w:sz="0" w:space="0" w:color="auto"/>
            <w:bottom w:val="none" w:sz="0" w:space="0" w:color="auto"/>
            <w:right w:val="none" w:sz="0" w:space="0" w:color="auto"/>
          </w:divBdr>
          <w:divsChild>
            <w:div w:id="1834107307">
              <w:marLeft w:val="0"/>
              <w:marRight w:val="0"/>
              <w:marTop w:val="0"/>
              <w:marBottom w:val="0"/>
              <w:divBdr>
                <w:top w:val="none" w:sz="0" w:space="0" w:color="auto"/>
                <w:left w:val="none" w:sz="0" w:space="0" w:color="auto"/>
                <w:bottom w:val="none" w:sz="0" w:space="0" w:color="auto"/>
                <w:right w:val="none" w:sz="0" w:space="0" w:color="auto"/>
              </w:divBdr>
            </w:div>
          </w:divsChild>
        </w:div>
        <w:div w:id="1698894973">
          <w:marLeft w:val="0"/>
          <w:marRight w:val="0"/>
          <w:marTop w:val="0"/>
          <w:marBottom w:val="0"/>
          <w:divBdr>
            <w:top w:val="none" w:sz="0" w:space="0" w:color="auto"/>
            <w:left w:val="none" w:sz="0" w:space="0" w:color="auto"/>
            <w:bottom w:val="none" w:sz="0" w:space="0" w:color="auto"/>
            <w:right w:val="none" w:sz="0" w:space="0" w:color="auto"/>
          </w:divBdr>
          <w:divsChild>
            <w:div w:id="1057582434">
              <w:marLeft w:val="0"/>
              <w:marRight w:val="0"/>
              <w:marTop w:val="0"/>
              <w:marBottom w:val="0"/>
              <w:divBdr>
                <w:top w:val="none" w:sz="0" w:space="0" w:color="auto"/>
                <w:left w:val="none" w:sz="0" w:space="0" w:color="auto"/>
                <w:bottom w:val="none" w:sz="0" w:space="0" w:color="auto"/>
                <w:right w:val="none" w:sz="0" w:space="0" w:color="auto"/>
              </w:divBdr>
            </w:div>
          </w:divsChild>
        </w:div>
        <w:div w:id="1723555944">
          <w:marLeft w:val="0"/>
          <w:marRight w:val="0"/>
          <w:marTop w:val="0"/>
          <w:marBottom w:val="0"/>
          <w:divBdr>
            <w:top w:val="none" w:sz="0" w:space="0" w:color="auto"/>
            <w:left w:val="none" w:sz="0" w:space="0" w:color="auto"/>
            <w:bottom w:val="none" w:sz="0" w:space="0" w:color="auto"/>
            <w:right w:val="none" w:sz="0" w:space="0" w:color="auto"/>
          </w:divBdr>
          <w:divsChild>
            <w:div w:id="1549149943">
              <w:marLeft w:val="0"/>
              <w:marRight w:val="0"/>
              <w:marTop w:val="0"/>
              <w:marBottom w:val="0"/>
              <w:divBdr>
                <w:top w:val="none" w:sz="0" w:space="0" w:color="auto"/>
                <w:left w:val="none" w:sz="0" w:space="0" w:color="auto"/>
                <w:bottom w:val="none" w:sz="0" w:space="0" w:color="auto"/>
                <w:right w:val="none" w:sz="0" w:space="0" w:color="auto"/>
              </w:divBdr>
            </w:div>
          </w:divsChild>
        </w:div>
        <w:div w:id="1742094352">
          <w:marLeft w:val="0"/>
          <w:marRight w:val="0"/>
          <w:marTop w:val="0"/>
          <w:marBottom w:val="0"/>
          <w:divBdr>
            <w:top w:val="none" w:sz="0" w:space="0" w:color="auto"/>
            <w:left w:val="none" w:sz="0" w:space="0" w:color="auto"/>
            <w:bottom w:val="none" w:sz="0" w:space="0" w:color="auto"/>
            <w:right w:val="none" w:sz="0" w:space="0" w:color="auto"/>
          </w:divBdr>
          <w:divsChild>
            <w:div w:id="1681469052">
              <w:marLeft w:val="0"/>
              <w:marRight w:val="0"/>
              <w:marTop w:val="0"/>
              <w:marBottom w:val="0"/>
              <w:divBdr>
                <w:top w:val="none" w:sz="0" w:space="0" w:color="auto"/>
                <w:left w:val="none" w:sz="0" w:space="0" w:color="auto"/>
                <w:bottom w:val="none" w:sz="0" w:space="0" w:color="auto"/>
                <w:right w:val="none" w:sz="0" w:space="0" w:color="auto"/>
              </w:divBdr>
            </w:div>
          </w:divsChild>
        </w:div>
        <w:div w:id="1744109976">
          <w:marLeft w:val="0"/>
          <w:marRight w:val="0"/>
          <w:marTop w:val="0"/>
          <w:marBottom w:val="0"/>
          <w:divBdr>
            <w:top w:val="none" w:sz="0" w:space="0" w:color="auto"/>
            <w:left w:val="none" w:sz="0" w:space="0" w:color="auto"/>
            <w:bottom w:val="none" w:sz="0" w:space="0" w:color="auto"/>
            <w:right w:val="none" w:sz="0" w:space="0" w:color="auto"/>
          </w:divBdr>
          <w:divsChild>
            <w:div w:id="1407992739">
              <w:marLeft w:val="0"/>
              <w:marRight w:val="0"/>
              <w:marTop w:val="0"/>
              <w:marBottom w:val="0"/>
              <w:divBdr>
                <w:top w:val="none" w:sz="0" w:space="0" w:color="auto"/>
                <w:left w:val="none" w:sz="0" w:space="0" w:color="auto"/>
                <w:bottom w:val="none" w:sz="0" w:space="0" w:color="auto"/>
                <w:right w:val="none" w:sz="0" w:space="0" w:color="auto"/>
              </w:divBdr>
            </w:div>
          </w:divsChild>
        </w:div>
        <w:div w:id="1771579204">
          <w:marLeft w:val="0"/>
          <w:marRight w:val="0"/>
          <w:marTop w:val="0"/>
          <w:marBottom w:val="0"/>
          <w:divBdr>
            <w:top w:val="none" w:sz="0" w:space="0" w:color="auto"/>
            <w:left w:val="none" w:sz="0" w:space="0" w:color="auto"/>
            <w:bottom w:val="none" w:sz="0" w:space="0" w:color="auto"/>
            <w:right w:val="none" w:sz="0" w:space="0" w:color="auto"/>
          </w:divBdr>
          <w:divsChild>
            <w:div w:id="1115832137">
              <w:marLeft w:val="0"/>
              <w:marRight w:val="0"/>
              <w:marTop w:val="0"/>
              <w:marBottom w:val="0"/>
              <w:divBdr>
                <w:top w:val="none" w:sz="0" w:space="0" w:color="auto"/>
                <w:left w:val="none" w:sz="0" w:space="0" w:color="auto"/>
                <w:bottom w:val="none" w:sz="0" w:space="0" w:color="auto"/>
                <w:right w:val="none" w:sz="0" w:space="0" w:color="auto"/>
              </w:divBdr>
            </w:div>
          </w:divsChild>
        </w:div>
        <w:div w:id="1772047183">
          <w:marLeft w:val="0"/>
          <w:marRight w:val="0"/>
          <w:marTop w:val="0"/>
          <w:marBottom w:val="0"/>
          <w:divBdr>
            <w:top w:val="none" w:sz="0" w:space="0" w:color="auto"/>
            <w:left w:val="none" w:sz="0" w:space="0" w:color="auto"/>
            <w:bottom w:val="none" w:sz="0" w:space="0" w:color="auto"/>
            <w:right w:val="none" w:sz="0" w:space="0" w:color="auto"/>
          </w:divBdr>
          <w:divsChild>
            <w:div w:id="1923640367">
              <w:marLeft w:val="0"/>
              <w:marRight w:val="0"/>
              <w:marTop w:val="0"/>
              <w:marBottom w:val="0"/>
              <w:divBdr>
                <w:top w:val="none" w:sz="0" w:space="0" w:color="auto"/>
                <w:left w:val="none" w:sz="0" w:space="0" w:color="auto"/>
                <w:bottom w:val="none" w:sz="0" w:space="0" w:color="auto"/>
                <w:right w:val="none" w:sz="0" w:space="0" w:color="auto"/>
              </w:divBdr>
            </w:div>
          </w:divsChild>
        </w:div>
        <w:div w:id="1792043941">
          <w:marLeft w:val="0"/>
          <w:marRight w:val="0"/>
          <w:marTop w:val="0"/>
          <w:marBottom w:val="0"/>
          <w:divBdr>
            <w:top w:val="none" w:sz="0" w:space="0" w:color="auto"/>
            <w:left w:val="none" w:sz="0" w:space="0" w:color="auto"/>
            <w:bottom w:val="none" w:sz="0" w:space="0" w:color="auto"/>
            <w:right w:val="none" w:sz="0" w:space="0" w:color="auto"/>
          </w:divBdr>
          <w:divsChild>
            <w:div w:id="1643730889">
              <w:marLeft w:val="0"/>
              <w:marRight w:val="0"/>
              <w:marTop w:val="0"/>
              <w:marBottom w:val="0"/>
              <w:divBdr>
                <w:top w:val="none" w:sz="0" w:space="0" w:color="auto"/>
                <w:left w:val="none" w:sz="0" w:space="0" w:color="auto"/>
                <w:bottom w:val="none" w:sz="0" w:space="0" w:color="auto"/>
                <w:right w:val="none" w:sz="0" w:space="0" w:color="auto"/>
              </w:divBdr>
            </w:div>
          </w:divsChild>
        </w:div>
        <w:div w:id="1794665927">
          <w:marLeft w:val="0"/>
          <w:marRight w:val="0"/>
          <w:marTop w:val="0"/>
          <w:marBottom w:val="0"/>
          <w:divBdr>
            <w:top w:val="none" w:sz="0" w:space="0" w:color="auto"/>
            <w:left w:val="none" w:sz="0" w:space="0" w:color="auto"/>
            <w:bottom w:val="none" w:sz="0" w:space="0" w:color="auto"/>
            <w:right w:val="none" w:sz="0" w:space="0" w:color="auto"/>
          </w:divBdr>
          <w:divsChild>
            <w:div w:id="857817008">
              <w:marLeft w:val="0"/>
              <w:marRight w:val="0"/>
              <w:marTop w:val="0"/>
              <w:marBottom w:val="0"/>
              <w:divBdr>
                <w:top w:val="none" w:sz="0" w:space="0" w:color="auto"/>
                <w:left w:val="none" w:sz="0" w:space="0" w:color="auto"/>
                <w:bottom w:val="none" w:sz="0" w:space="0" w:color="auto"/>
                <w:right w:val="none" w:sz="0" w:space="0" w:color="auto"/>
              </w:divBdr>
            </w:div>
          </w:divsChild>
        </w:div>
        <w:div w:id="1799908936">
          <w:marLeft w:val="0"/>
          <w:marRight w:val="0"/>
          <w:marTop w:val="0"/>
          <w:marBottom w:val="0"/>
          <w:divBdr>
            <w:top w:val="none" w:sz="0" w:space="0" w:color="auto"/>
            <w:left w:val="none" w:sz="0" w:space="0" w:color="auto"/>
            <w:bottom w:val="none" w:sz="0" w:space="0" w:color="auto"/>
            <w:right w:val="none" w:sz="0" w:space="0" w:color="auto"/>
          </w:divBdr>
          <w:divsChild>
            <w:div w:id="89013048">
              <w:marLeft w:val="0"/>
              <w:marRight w:val="0"/>
              <w:marTop w:val="0"/>
              <w:marBottom w:val="0"/>
              <w:divBdr>
                <w:top w:val="none" w:sz="0" w:space="0" w:color="auto"/>
                <w:left w:val="none" w:sz="0" w:space="0" w:color="auto"/>
                <w:bottom w:val="none" w:sz="0" w:space="0" w:color="auto"/>
                <w:right w:val="none" w:sz="0" w:space="0" w:color="auto"/>
              </w:divBdr>
            </w:div>
          </w:divsChild>
        </w:div>
        <w:div w:id="1824739787">
          <w:marLeft w:val="0"/>
          <w:marRight w:val="0"/>
          <w:marTop w:val="0"/>
          <w:marBottom w:val="0"/>
          <w:divBdr>
            <w:top w:val="none" w:sz="0" w:space="0" w:color="auto"/>
            <w:left w:val="none" w:sz="0" w:space="0" w:color="auto"/>
            <w:bottom w:val="none" w:sz="0" w:space="0" w:color="auto"/>
            <w:right w:val="none" w:sz="0" w:space="0" w:color="auto"/>
          </w:divBdr>
          <w:divsChild>
            <w:div w:id="1793743170">
              <w:marLeft w:val="0"/>
              <w:marRight w:val="0"/>
              <w:marTop w:val="0"/>
              <w:marBottom w:val="0"/>
              <w:divBdr>
                <w:top w:val="none" w:sz="0" w:space="0" w:color="auto"/>
                <w:left w:val="none" w:sz="0" w:space="0" w:color="auto"/>
                <w:bottom w:val="none" w:sz="0" w:space="0" w:color="auto"/>
                <w:right w:val="none" w:sz="0" w:space="0" w:color="auto"/>
              </w:divBdr>
            </w:div>
          </w:divsChild>
        </w:div>
        <w:div w:id="1852254185">
          <w:marLeft w:val="0"/>
          <w:marRight w:val="0"/>
          <w:marTop w:val="0"/>
          <w:marBottom w:val="0"/>
          <w:divBdr>
            <w:top w:val="none" w:sz="0" w:space="0" w:color="auto"/>
            <w:left w:val="none" w:sz="0" w:space="0" w:color="auto"/>
            <w:bottom w:val="none" w:sz="0" w:space="0" w:color="auto"/>
            <w:right w:val="none" w:sz="0" w:space="0" w:color="auto"/>
          </w:divBdr>
          <w:divsChild>
            <w:div w:id="1689872207">
              <w:marLeft w:val="0"/>
              <w:marRight w:val="0"/>
              <w:marTop w:val="0"/>
              <w:marBottom w:val="0"/>
              <w:divBdr>
                <w:top w:val="none" w:sz="0" w:space="0" w:color="auto"/>
                <w:left w:val="none" w:sz="0" w:space="0" w:color="auto"/>
                <w:bottom w:val="none" w:sz="0" w:space="0" w:color="auto"/>
                <w:right w:val="none" w:sz="0" w:space="0" w:color="auto"/>
              </w:divBdr>
            </w:div>
          </w:divsChild>
        </w:div>
        <w:div w:id="1862208500">
          <w:marLeft w:val="0"/>
          <w:marRight w:val="0"/>
          <w:marTop w:val="0"/>
          <w:marBottom w:val="0"/>
          <w:divBdr>
            <w:top w:val="none" w:sz="0" w:space="0" w:color="auto"/>
            <w:left w:val="none" w:sz="0" w:space="0" w:color="auto"/>
            <w:bottom w:val="none" w:sz="0" w:space="0" w:color="auto"/>
            <w:right w:val="none" w:sz="0" w:space="0" w:color="auto"/>
          </w:divBdr>
          <w:divsChild>
            <w:div w:id="728649816">
              <w:marLeft w:val="0"/>
              <w:marRight w:val="0"/>
              <w:marTop w:val="0"/>
              <w:marBottom w:val="0"/>
              <w:divBdr>
                <w:top w:val="none" w:sz="0" w:space="0" w:color="auto"/>
                <w:left w:val="none" w:sz="0" w:space="0" w:color="auto"/>
                <w:bottom w:val="none" w:sz="0" w:space="0" w:color="auto"/>
                <w:right w:val="none" w:sz="0" w:space="0" w:color="auto"/>
              </w:divBdr>
            </w:div>
          </w:divsChild>
        </w:div>
        <w:div w:id="1922057854">
          <w:marLeft w:val="0"/>
          <w:marRight w:val="0"/>
          <w:marTop w:val="0"/>
          <w:marBottom w:val="0"/>
          <w:divBdr>
            <w:top w:val="none" w:sz="0" w:space="0" w:color="auto"/>
            <w:left w:val="none" w:sz="0" w:space="0" w:color="auto"/>
            <w:bottom w:val="none" w:sz="0" w:space="0" w:color="auto"/>
            <w:right w:val="none" w:sz="0" w:space="0" w:color="auto"/>
          </w:divBdr>
          <w:divsChild>
            <w:div w:id="1511602046">
              <w:marLeft w:val="0"/>
              <w:marRight w:val="0"/>
              <w:marTop w:val="0"/>
              <w:marBottom w:val="0"/>
              <w:divBdr>
                <w:top w:val="none" w:sz="0" w:space="0" w:color="auto"/>
                <w:left w:val="none" w:sz="0" w:space="0" w:color="auto"/>
                <w:bottom w:val="none" w:sz="0" w:space="0" w:color="auto"/>
                <w:right w:val="none" w:sz="0" w:space="0" w:color="auto"/>
              </w:divBdr>
            </w:div>
          </w:divsChild>
        </w:div>
        <w:div w:id="1930850474">
          <w:marLeft w:val="0"/>
          <w:marRight w:val="0"/>
          <w:marTop w:val="0"/>
          <w:marBottom w:val="0"/>
          <w:divBdr>
            <w:top w:val="none" w:sz="0" w:space="0" w:color="auto"/>
            <w:left w:val="none" w:sz="0" w:space="0" w:color="auto"/>
            <w:bottom w:val="none" w:sz="0" w:space="0" w:color="auto"/>
            <w:right w:val="none" w:sz="0" w:space="0" w:color="auto"/>
          </w:divBdr>
          <w:divsChild>
            <w:div w:id="33503412">
              <w:marLeft w:val="0"/>
              <w:marRight w:val="0"/>
              <w:marTop w:val="0"/>
              <w:marBottom w:val="0"/>
              <w:divBdr>
                <w:top w:val="none" w:sz="0" w:space="0" w:color="auto"/>
                <w:left w:val="none" w:sz="0" w:space="0" w:color="auto"/>
                <w:bottom w:val="none" w:sz="0" w:space="0" w:color="auto"/>
                <w:right w:val="none" w:sz="0" w:space="0" w:color="auto"/>
              </w:divBdr>
            </w:div>
          </w:divsChild>
        </w:div>
        <w:div w:id="1971742746">
          <w:marLeft w:val="0"/>
          <w:marRight w:val="0"/>
          <w:marTop w:val="0"/>
          <w:marBottom w:val="0"/>
          <w:divBdr>
            <w:top w:val="none" w:sz="0" w:space="0" w:color="auto"/>
            <w:left w:val="none" w:sz="0" w:space="0" w:color="auto"/>
            <w:bottom w:val="none" w:sz="0" w:space="0" w:color="auto"/>
            <w:right w:val="none" w:sz="0" w:space="0" w:color="auto"/>
          </w:divBdr>
          <w:divsChild>
            <w:div w:id="798184023">
              <w:marLeft w:val="0"/>
              <w:marRight w:val="0"/>
              <w:marTop w:val="0"/>
              <w:marBottom w:val="0"/>
              <w:divBdr>
                <w:top w:val="none" w:sz="0" w:space="0" w:color="auto"/>
                <w:left w:val="none" w:sz="0" w:space="0" w:color="auto"/>
                <w:bottom w:val="none" w:sz="0" w:space="0" w:color="auto"/>
                <w:right w:val="none" w:sz="0" w:space="0" w:color="auto"/>
              </w:divBdr>
            </w:div>
          </w:divsChild>
        </w:div>
        <w:div w:id="1977759573">
          <w:marLeft w:val="0"/>
          <w:marRight w:val="0"/>
          <w:marTop w:val="0"/>
          <w:marBottom w:val="0"/>
          <w:divBdr>
            <w:top w:val="none" w:sz="0" w:space="0" w:color="auto"/>
            <w:left w:val="none" w:sz="0" w:space="0" w:color="auto"/>
            <w:bottom w:val="none" w:sz="0" w:space="0" w:color="auto"/>
            <w:right w:val="none" w:sz="0" w:space="0" w:color="auto"/>
          </w:divBdr>
          <w:divsChild>
            <w:div w:id="278420189">
              <w:marLeft w:val="0"/>
              <w:marRight w:val="0"/>
              <w:marTop w:val="0"/>
              <w:marBottom w:val="0"/>
              <w:divBdr>
                <w:top w:val="none" w:sz="0" w:space="0" w:color="auto"/>
                <w:left w:val="none" w:sz="0" w:space="0" w:color="auto"/>
                <w:bottom w:val="none" w:sz="0" w:space="0" w:color="auto"/>
                <w:right w:val="none" w:sz="0" w:space="0" w:color="auto"/>
              </w:divBdr>
            </w:div>
          </w:divsChild>
        </w:div>
        <w:div w:id="1980500084">
          <w:marLeft w:val="0"/>
          <w:marRight w:val="0"/>
          <w:marTop w:val="0"/>
          <w:marBottom w:val="0"/>
          <w:divBdr>
            <w:top w:val="none" w:sz="0" w:space="0" w:color="auto"/>
            <w:left w:val="none" w:sz="0" w:space="0" w:color="auto"/>
            <w:bottom w:val="none" w:sz="0" w:space="0" w:color="auto"/>
            <w:right w:val="none" w:sz="0" w:space="0" w:color="auto"/>
          </w:divBdr>
          <w:divsChild>
            <w:div w:id="715544729">
              <w:marLeft w:val="0"/>
              <w:marRight w:val="0"/>
              <w:marTop w:val="0"/>
              <w:marBottom w:val="0"/>
              <w:divBdr>
                <w:top w:val="none" w:sz="0" w:space="0" w:color="auto"/>
                <w:left w:val="none" w:sz="0" w:space="0" w:color="auto"/>
                <w:bottom w:val="none" w:sz="0" w:space="0" w:color="auto"/>
                <w:right w:val="none" w:sz="0" w:space="0" w:color="auto"/>
              </w:divBdr>
            </w:div>
          </w:divsChild>
        </w:div>
        <w:div w:id="1990552027">
          <w:marLeft w:val="0"/>
          <w:marRight w:val="0"/>
          <w:marTop w:val="0"/>
          <w:marBottom w:val="0"/>
          <w:divBdr>
            <w:top w:val="none" w:sz="0" w:space="0" w:color="auto"/>
            <w:left w:val="none" w:sz="0" w:space="0" w:color="auto"/>
            <w:bottom w:val="none" w:sz="0" w:space="0" w:color="auto"/>
            <w:right w:val="none" w:sz="0" w:space="0" w:color="auto"/>
          </w:divBdr>
          <w:divsChild>
            <w:div w:id="1323698570">
              <w:marLeft w:val="0"/>
              <w:marRight w:val="0"/>
              <w:marTop w:val="0"/>
              <w:marBottom w:val="0"/>
              <w:divBdr>
                <w:top w:val="none" w:sz="0" w:space="0" w:color="auto"/>
                <w:left w:val="none" w:sz="0" w:space="0" w:color="auto"/>
                <w:bottom w:val="none" w:sz="0" w:space="0" w:color="auto"/>
                <w:right w:val="none" w:sz="0" w:space="0" w:color="auto"/>
              </w:divBdr>
            </w:div>
          </w:divsChild>
        </w:div>
        <w:div w:id="2007854726">
          <w:marLeft w:val="0"/>
          <w:marRight w:val="0"/>
          <w:marTop w:val="0"/>
          <w:marBottom w:val="0"/>
          <w:divBdr>
            <w:top w:val="none" w:sz="0" w:space="0" w:color="auto"/>
            <w:left w:val="none" w:sz="0" w:space="0" w:color="auto"/>
            <w:bottom w:val="none" w:sz="0" w:space="0" w:color="auto"/>
            <w:right w:val="none" w:sz="0" w:space="0" w:color="auto"/>
          </w:divBdr>
          <w:divsChild>
            <w:div w:id="956326602">
              <w:marLeft w:val="0"/>
              <w:marRight w:val="0"/>
              <w:marTop w:val="0"/>
              <w:marBottom w:val="0"/>
              <w:divBdr>
                <w:top w:val="none" w:sz="0" w:space="0" w:color="auto"/>
                <w:left w:val="none" w:sz="0" w:space="0" w:color="auto"/>
                <w:bottom w:val="none" w:sz="0" w:space="0" w:color="auto"/>
                <w:right w:val="none" w:sz="0" w:space="0" w:color="auto"/>
              </w:divBdr>
            </w:div>
          </w:divsChild>
        </w:div>
        <w:div w:id="2034264859">
          <w:marLeft w:val="0"/>
          <w:marRight w:val="0"/>
          <w:marTop w:val="0"/>
          <w:marBottom w:val="0"/>
          <w:divBdr>
            <w:top w:val="none" w:sz="0" w:space="0" w:color="auto"/>
            <w:left w:val="none" w:sz="0" w:space="0" w:color="auto"/>
            <w:bottom w:val="none" w:sz="0" w:space="0" w:color="auto"/>
            <w:right w:val="none" w:sz="0" w:space="0" w:color="auto"/>
          </w:divBdr>
          <w:divsChild>
            <w:div w:id="2072076578">
              <w:marLeft w:val="0"/>
              <w:marRight w:val="0"/>
              <w:marTop w:val="0"/>
              <w:marBottom w:val="0"/>
              <w:divBdr>
                <w:top w:val="none" w:sz="0" w:space="0" w:color="auto"/>
                <w:left w:val="none" w:sz="0" w:space="0" w:color="auto"/>
                <w:bottom w:val="none" w:sz="0" w:space="0" w:color="auto"/>
                <w:right w:val="none" w:sz="0" w:space="0" w:color="auto"/>
              </w:divBdr>
            </w:div>
          </w:divsChild>
        </w:div>
        <w:div w:id="2034648247">
          <w:marLeft w:val="0"/>
          <w:marRight w:val="0"/>
          <w:marTop w:val="0"/>
          <w:marBottom w:val="0"/>
          <w:divBdr>
            <w:top w:val="none" w:sz="0" w:space="0" w:color="auto"/>
            <w:left w:val="none" w:sz="0" w:space="0" w:color="auto"/>
            <w:bottom w:val="none" w:sz="0" w:space="0" w:color="auto"/>
            <w:right w:val="none" w:sz="0" w:space="0" w:color="auto"/>
          </w:divBdr>
          <w:divsChild>
            <w:div w:id="1162813015">
              <w:marLeft w:val="0"/>
              <w:marRight w:val="0"/>
              <w:marTop w:val="0"/>
              <w:marBottom w:val="0"/>
              <w:divBdr>
                <w:top w:val="none" w:sz="0" w:space="0" w:color="auto"/>
                <w:left w:val="none" w:sz="0" w:space="0" w:color="auto"/>
                <w:bottom w:val="none" w:sz="0" w:space="0" w:color="auto"/>
                <w:right w:val="none" w:sz="0" w:space="0" w:color="auto"/>
              </w:divBdr>
            </w:div>
          </w:divsChild>
        </w:div>
        <w:div w:id="2086103604">
          <w:marLeft w:val="0"/>
          <w:marRight w:val="0"/>
          <w:marTop w:val="0"/>
          <w:marBottom w:val="0"/>
          <w:divBdr>
            <w:top w:val="none" w:sz="0" w:space="0" w:color="auto"/>
            <w:left w:val="none" w:sz="0" w:space="0" w:color="auto"/>
            <w:bottom w:val="none" w:sz="0" w:space="0" w:color="auto"/>
            <w:right w:val="none" w:sz="0" w:space="0" w:color="auto"/>
          </w:divBdr>
          <w:divsChild>
            <w:div w:id="494343306">
              <w:marLeft w:val="0"/>
              <w:marRight w:val="0"/>
              <w:marTop w:val="0"/>
              <w:marBottom w:val="0"/>
              <w:divBdr>
                <w:top w:val="none" w:sz="0" w:space="0" w:color="auto"/>
                <w:left w:val="none" w:sz="0" w:space="0" w:color="auto"/>
                <w:bottom w:val="none" w:sz="0" w:space="0" w:color="auto"/>
                <w:right w:val="none" w:sz="0" w:space="0" w:color="auto"/>
              </w:divBdr>
            </w:div>
          </w:divsChild>
        </w:div>
        <w:div w:id="2096398137">
          <w:marLeft w:val="0"/>
          <w:marRight w:val="0"/>
          <w:marTop w:val="0"/>
          <w:marBottom w:val="0"/>
          <w:divBdr>
            <w:top w:val="none" w:sz="0" w:space="0" w:color="auto"/>
            <w:left w:val="none" w:sz="0" w:space="0" w:color="auto"/>
            <w:bottom w:val="none" w:sz="0" w:space="0" w:color="auto"/>
            <w:right w:val="none" w:sz="0" w:space="0" w:color="auto"/>
          </w:divBdr>
          <w:divsChild>
            <w:div w:id="1128552334">
              <w:marLeft w:val="0"/>
              <w:marRight w:val="0"/>
              <w:marTop w:val="0"/>
              <w:marBottom w:val="0"/>
              <w:divBdr>
                <w:top w:val="none" w:sz="0" w:space="0" w:color="auto"/>
                <w:left w:val="none" w:sz="0" w:space="0" w:color="auto"/>
                <w:bottom w:val="none" w:sz="0" w:space="0" w:color="auto"/>
                <w:right w:val="none" w:sz="0" w:space="0" w:color="auto"/>
              </w:divBdr>
            </w:div>
          </w:divsChild>
        </w:div>
        <w:div w:id="2098208357">
          <w:marLeft w:val="0"/>
          <w:marRight w:val="0"/>
          <w:marTop w:val="0"/>
          <w:marBottom w:val="0"/>
          <w:divBdr>
            <w:top w:val="none" w:sz="0" w:space="0" w:color="auto"/>
            <w:left w:val="none" w:sz="0" w:space="0" w:color="auto"/>
            <w:bottom w:val="none" w:sz="0" w:space="0" w:color="auto"/>
            <w:right w:val="none" w:sz="0" w:space="0" w:color="auto"/>
          </w:divBdr>
          <w:divsChild>
            <w:div w:id="1661040608">
              <w:marLeft w:val="0"/>
              <w:marRight w:val="0"/>
              <w:marTop w:val="0"/>
              <w:marBottom w:val="0"/>
              <w:divBdr>
                <w:top w:val="none" w:sz="0" w:space="0" w:color="auto"/>
                <w:left w:val="none" w:sz="0" w:space="0" w:color="auto"/>
                <w:bottom w:val="none" w:sz="0" w:space="0" w:color="auto"/>
                <w:right w:val="none" w:sz="0" w:space="0" w:color="auto"/>
              </w:divBdr>
            </w:div>
          </w:divsChild>
        </w:div>
        <w:div w:id="2118986525">
          <w:marLeft w:val="0"/>
          <w:marRight w:val="0"/>
          <w:marTop w:val="0"/>
          <w:marBottom w:val="0"/>
          <w:divBdr>
            <w:top w:val="none" w:sz="0" w:space="0" w:color="auto"/>
            <w:left w:val="none" w:sz="0" w:space="0" w:color="auto"/>
            <w:bottom w:val="none" w:sz="0" w:space="0" w:color="auto"/>
            <w:right w:val="none" w:sz="0" w:space="0" w:color="auto"/>
          </w:divBdr>
          <w:divsChild>
            <w:div w:id="1474565475">
              <w:marLeft w:val="0"/>
              <w:marRight w:val="0"/>
              <w:marTop w:val="0"/>
              <w:marBottom w:val="0"/>
              <w:divBdr>
                <w:top w:val="none" w:sz="0" w:space="0" w:color="auto"/>
                <w:left w:val="none" w:sz="0" w:space="0" w:color="auto"/>
                <w:bottom w:val="none" w:sz="0" w:space="0" w:color="auto"/>
                <w:right w:val="none" w:sz="0" w:space="0" w:color="auto"/>
              </w:divBdr>
            </w:div>
          </w:divsChild>
        </w:div>
        <w:div w:id="2120948368">
          <w:marLeft w:val="0"/>
          <w:marRight w:val="0"/>
          <w:marTop w:val="0"/>
          <w:marBottom w:val="0"/>
          <w:divBdr>
            <w:top w:val="none" w:sz="0" w:space="0" w:color="auto"/>
            <w:left w:val="none" w:sz="0" w:space="0" w:color="auto"/>
            <w:bottom w:val="none" w:sz="0" w:space="0" w:color="auto"/>
            <w:right w:val="none" w:sz="0" w:space="0" w:color="auto"/>
          </w:divBdr>
          <w:divsChild>
            <w:div w:id="1583027808">
              <w:marLeft w:val="0"/>
              <w:marRight w:val="0"/>
              <w:marTop w:val="0"/>
              <w:marBottom w:val="0"/>
              <w:divBdr>
                <w:top w:val="none" w:sz="0" w:space="0" w:color="auto"/>
                <w:left w:val="none" w:sz="0" w:space="0" w:color="auto"/>
                <w:bottom w:val="none" w:sz="0" w:space="0" w:color="auto"/>
                <w:right w:val="none" w:sz="0" w:space="0" w:color="auto"/>
              </w:divBdr>
            </w:div>
          </w:divsChild>
        </w:div>
        <w:div w:id="2142069650">
          <w:marLeft w:val="0"/>
          <w:marRight w:val="0"/>
          <w:marTop w:val="0"/>
          <w:marBottom w:val="0"/>
          <w:divBdr>
            <w:top w:val="none" w:sz="0" w:space="0" w:color="auto"/>
            <w:left w:val="none" w:sz="0" w:space="0" w:color="auto"/>
            <w:bottom w:val="none" w:sz="0" w:space="0" w:color="auto"/>
            <w:right w:val="none" w:sz="0" w:space="0" w:color="auto"/>
          </w:divBdr>
          <w:divsChild>
            <w:div w:id="200673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39668">
      <w:bodyDiv w:val="1"/>
      <w:marLeft w:val="0"/>
      <w:marRight w:val="0"/>
      <w:marTop w:val="0"/>
      <w:marBottom w:val="0"/>
      <w:divBdr>
        <w:top w:val="none" w:sz="0" w:space="0" w:color="auto"/>
        <w:left w:val="none" w:sz="0" w:space="0" w:color="auto"/>
        <w:bottom w:val="none" w:sz="0" w:space="0" w:color="auto"/>
        <w:right w:val="none" w:sz="0" w:space="0" w:color="auto"/>
      </w:divBdr>
    </w:div>
    <w:div w:id="422801108">
      <w:bodyDiv w:val="1"/>
      <w:marLeft w:val="0"/>
      <w:marRight w:val="0"/>
      <w:marTop w:val="0"/>
      <w:marBottom w:val="0"/>
      <w:divBdr>
        <w:top w:val="none" w:sz="0" w:space="0" w:color="auto"/>
        <w:left w:val="none" w:sz="0" w:space="0" w:color="auto"/>
        <w:bottom w:val="none" w:sz="0" w:space="0" w:color="auto"/>
        <w:right w:val="none" w:sz="0" w:space="0" w:color="auto"/>
      </w:divBdr>
      <w:divsChild>
        <w:div w:id="1637636089">
          <w:marLeft w:val="547"/>
          <w:marRight w:val="0"/>
          <w:marTop w:val="0"/>
          <w:marBottom w:val="0"/>
          <w:divBdr>
            <w:top w:val="none" w:sz="0" w:space="0" w:color="auto"/>
            <w:left w:val="none" w:sz="0" w:space="0" w:color="auto"/>
            <w:bottom w:val="none" w:sz="0" w:space="0" w:color="auto"/>
            <w:right w:val="none" w:sz="0" w:space="0" w:color="auto"/>
          </w:divBdr>
        </w:div>
      </w:divsChild>
    </w:div>
    <w:div w:id="474639107">
      <w:bodyDiv w:val="1"/>
      <w:marLeft w:val="0"/>
      <w:marRight w:val="0"/>
      <w:marTop w:val="0"/>
      <w:marBottom w:val="0"/>
      <w:divBdr>
        <w:top w:val="none" w:sz="0" w:space="0" w:color="auto"/>
        <w:left w:val="none" w:sz="0" w:space="0" w:color="auto"/>
        <w:bottom w:val="none" w:sz="0" w:space="0" w:color="auto"/>
        <w:right w:val="none" w:sz="0" w:space="0" w:color="auto"/>
      </w:divBdr>
    </w:div>
    <w:div w:id="484711814">
      <w:bodyDiv w:val="1"/>
      <w:marLeft w:val="0"/>
      <w:marRight w:val="0"/>
      <w:marTop w:val="0"/>
      <w:marBottom w:val="0"/>
      <w:divBdr>
        <w:top w:val="none" w:sz="0" w:space="0" w:color="auto"/>
        <w:left w:val="none" w:sz="0" w:space="0" w:color="auto"/>
        <w:bottom w:val="none" w:sz="0" w:space="0" w:color="auto"/>
        <w:right w:val="none" w:sz="0" w:space="0" w:color="auto"/>
      </w:divBdr>
    </w:div>
    <w:div w:id="502746443">
      <w:bodyDiv w:val="1"/>
      <w:marLeft w:val="0"/>
      <w:marRight w:val="0"/>
      <w:marTop w:val="0"/>
      <w:marBottom w:val="0"/>
      <w:divBdr>
        <w:top w:val="none" w:sz="0" w:space="0" w:color="auto"/>
        <w:left w:val="none" w:sz="0" w:space="0" w:color="auto"/>
        <w:bottom w:val="none" w:sz="0" w:space="0" w:color="auto"/>
        <w:right w:val="none" w:sz="0" w:space="0" w:color="auto"/>
      </w:divBdr>
    </w:div>
    <w:div w:id="513492818">
      <w:bodyDiv w:val="1"/>
      <w:marLeft w:val="0"/>
      <w:marRight w:val="0"/>
      <w:marTop w:val="0"/>
      <w:marBottom w:val="0"/>
      <w:divBdr>
        <w:top w:val="none" w:sz="0" w:space="0" w:color="auto"/>
        <w:left w:val="none" w:sz="0" w:space="0" w:color="auto"/>
        <w:bottom w:val="none" w:sz="0" w:space="0" w:color="auto"/>
        <w:right w:val="none" w:sz="0" w:space="0" w:color="auto"/>
      </w:divBdr>
      <w:divsChild>
        <w:div w:id="47850309">
          <w:marLeft w:val="0"/>
          <w:marRight w:val="0"/>
          <w:marTop w:val="0"/>
          <w:marBottom w:val="0"/>
          <w:divBdr>
            <w:top w:val="none" w:sz="0" w:space="0" w:color="auto"/>
            <w:left w:val="none" w:sz="0" w:space="0" w:color="auto"/>
            <w:bottom w:val="none" w:sz="0" w:space="0" w:color="auto"/>
            <w:right w:val="none" w:sz="0" w:space="0" w:color="auto"/>
          </w:divBdr>
        </w:div>
        <w:div w:id="67314564">
          <w:marLeft w:val="0"/>
          <w:marRight w:val="0"/>
          <w:marTop w:val="0"/>
          <w:marBottom w:val="0"/>
          <w:divBdr>
            <w:top w:val="none" w:sz="0" w:space="0" w:color="auto"/>
            <w:left w:val="none" w:sz="0" w:space="0" w:color="auto"/>
            <w:bottom w:val="none" w:sz="0" w:space="0" w:color="auto"/>
            <w:right w:val="none" w:sz="0" w:space="0" w:color="auto"/>
          </w:divBdr>
        </w:div>
        <w:div w:id="149566661">
          <w:marLeft w:val="0"/>
          <w:marRight w:val="0"/>
          <w:marTop w:val="0"/>
          <w:marBottom w:val="0"/>
          <w:divBdr>
            <w:top w:val="none" w:sz="0" w:space="0" w:color="auto"/>
            <w:left w:val="none" w:sz="0" w:space="0" w:color="auto"/>
            <w:bottom w:val="none" w:sz="0" w:space="0" w:color="auto"/>
            <w:right w:val="none" w:sz="0" w:space="0" w:color="auto"/>
          </w:divBdr>
        </w:div>
        <w:div w:id="571934949">
          <w:marLeft w:val="0"/>
          <w:marRight w:val="0"/>
          <w:marTop w:val="0"/>
          <w:marBottom w:val="0"/>
          <w:divBdr>
            <w:top w:val="none" w:sz="0" w:space="0" w:color="auto"/>
            <w:left w:val="none" w:sz="0" w:space="0" w:color="auto"/>
            <w:bottom w:val="none" w:sz="0" w:space="0" w:color="auto"/>
            <w:right w:val="none" w:sz="0" w:space="0" w:color="auto"/>
          </w:divBdr>
        </w:div>
        <w:div w:id="928196117">
          <w:marLeft w:val="0"/>
          <w:marRight w:val="0"/>
          <w:marTop w:val="0"/>
          <w:marBottom w:val="0"/>
          <w:divBdr>
            <w:top w:val="none" w:sz="0" w:space="0" w:color="auto"/>
            <w:left w:val="none" w:sz="0" w:space="0" w:color="auto"/>
            <w:bottom w:val="none" w:sz="0" w:space="0" w:color="auto"/>
            <w:right w:val="none" w:sz="0" w:space="0" w:color="auto"/>
          </w:divBdr>
        </w:div>
        <w:div w:id="1738748776">
          <w:marLeft w:val="0"/>
          <w:marRight w:val="0"/>
          <w:marTop w:val="0"/>
          <w:marBottom w:val="0"/>
          <w:divBdr>
            <w:top w:val="none" w:sz="0" w:space="0" w:color="auto"/>
            <w:left w:val="none" w:sz="0" w:space="0" w:color="auto"/>
            <w:bottom w:val="none" w:sz="0" w:space="0" w:color="auto"/>
            <w:right w:val="none" w:sz="0" w:space="0" w:color="auto"/>
          </w:divBdr>
        </w:div>
        <w:div w:id="2141683034">
          <w:marLeft w:val="0"/>
          <w:marRight w:val="0"/>
          <w:marTop w:val="0"/>
          <w:marBottom w:val="0"/>
          <w:divBdr>
            <w:top w:val="none" w:sz="0" w:space="0" w:color="auto"/>
            <w:left w:val="none" w:sz="0" w:space="0" w:color="auto"/>
            <w:bottom w:val="none" w:sz="0" w:space="0" w:color="auto"/>
            <w:right w:val="none" w:sz="0" w:space="0" w:color="auto"/>
          </w:divBdr>
        </w:div>
      </w:divsChild>
    </w:div>
    <w:div w:id="535966291">
      <w:bodyDiv w:val="1"/>
      <w:marLeft w:val="0"/>
      <w:marRight w:val="0"/>
      <w:marTop w:val="0"/>
      <w:marBottom w:val="0"/>
      <w:divBdr>
        <w:top w:val="none" w:sz="0" w:space="0" w:color="auto"/>
        <w:left w:val="none" w:sz="0" w:space="0" w:color="auto"/>
        <w:bottom w:val="none" w:sz="0" w:space="0" w:color="auto"/>
        <w:right w:val="none" w:sz="0" w:space="0" w:color="auto"/>
      </w:divBdr>
    </w:div>
    <w:div w:id="566258227">
      <w:bodyDiv w:val="1"/>
      <w:marLeft w:val="0"/>
      <w:marRight w:val="0"/>
      <w:marTop w:val="0"/>
      <w:marBottom w:val="0"/>
      <w:divBdr>
        <w:top w:val="none" w:sz="0" w:space="0" w:color="auto"/>
        <w:left w:val="none" w:sz="0" w:space="0" w:color="auto"/>
        <w:bottom w:val="none" w:sz="0" w:space="0" w:color="auto"/>
        <w:right w:val="none" w:sz="0" w:space="0" w:color="auto"/>
      </w:divBdr>
    </w:div>
    <w:div w:id="595477591">
      <w:bodyDiv w:val="1"/>
      <w:marLeft w:val="0"/>
      <w:marRight w:val="0"/>
      <w:marTop w:val="0"/>
      <w:marBottom w:val="0"/>
      <w:divBdr>
        <w:top w:val="none" w:sz="0" w:space="0" w:color="auto"/>
        <w:left w:val="none" w:sz="0" w:space="0" w:color="auto"/>
        <w:bottom w:val="none" w:sz="0" w:space="0" w:color="auto"/>
        <w:right w:val="none" w:sz="0" w:space="0" w:color="auto"/>
      </w:divBdr>
    </w:div>
    <w:div w:id="631907144">
      <w:bodyDiv w:val="1"/>
      <w:marLeft w:val="0"/>
      <w:marRight w:val="0"/>
      <w:marTop w:val="0"/>
      <w:marBottom w:val="0"/>
      <w:divBdr>
        <w:top w:val="none" w:sz="0" w:space="0" w:color="auto"/>
        <w:left w:val="none" w:sz="0" w:space="0" w:color="auto"/>
        <w:bottom w:val="none" w:sz="0" w:space="0" w:color="auto"/>
        <w:right w:val="none" w:sz="0" w:space="0" w:color="auto"/>
      </w:divBdr>
    </w:div>
    <w:div w:id="644046466">
      <w:bodyDiv w:val="1"/>
      <w:marLeft w:val="0"/>
      <w:marRight w:val="0"/>
      <w:marTop w:val="0"/>
      <w:marBottom w:val="0"/>
      <w:divBdr>
        <w:top w:val="none" w:sz="0" w:space="0" w:color="auto"/>
        <w:left w:val="none" w:sz="0" w:space="0" w:color="auto"/>
        <w:bottom w:val="none" w:sz="0" w:space="0" w:color="auto"/>
        <w:right w:val="none" w:sz="0" w:space="0" w:color="auto"/>
      </w:divBdr>
    </w:div>
    <w:div w:id="646782202">
      <w:bodyDiv w:val="1"/>
      <w:marLeft w:val="0"/>
      <w:marRight w:val="0"/>
      <w:marTop w:val="0"/>
      <w:marBottom w:val="0"/>
      <w:divBdr>
        <w:top w:val="none" w:sz="0" w:space="0" w:color="auto"/>
        <w:left w:val="none" w:sz="0" w:space="0" w:color="auto"/>
        <w:bottom w:val="none" w:sz="0" w:space="0" w:color="auto"/>
        <w:right w:val="none" w:sz="0" w:space="0" w:color="auto"/>
      </w:divBdr>
    </w:div>
    <w:div w:id="698165383">
      <w:bodyDiv w:val="1"/>
      <w:marLeft w:val="0"/>
      <w:marRight w:val="0"/>
      <w:marTop w:val="0"/>
      <w:marBottom w:val="0"/>
      <w:divBdr>
        <w:top w:val="none" w:sz="0" w:space="0" w:color="auto"/>
        <w:left w:val="none" w:sz="0" w:space="0" w:color="auto"/>
        <w:bottom w:val="none" w:sz="0" w:space="0" w:color="auto"/>
        <w:right w:val="none" w:sz="0" w:space="0" w:color="auto"/>
      </w:divBdr>
      <w:divsChild>
        <w:div w:id="62414836">
          <w:marLeft w:val="0"/>
          <w:marRight w:val="0"/>
          <w:marTop w:val="0"/>
          <w:marBottom w:val="0"/>
          <w:divBdr>
            <w:top w:val="none" w:sz="0" w:space="0" w:color="auto"/>
            <w:left w:val="none" w:sz="0" w:space="0" w:color="auto"/>
            <w:bottom w:val="none" w:sz="0" w:space="0" w:color="auto"/>
            <w:right w:val="none" w:sz="0" w:space="0" w:color="auto"/>
          </w:divBdr>
        </w:div>
        <w:div w:id="1993171816">
          <w:marLeft w:val="0"/>
          <w:marRight w:val="0"/>
          <w:marTop w:val="0"/>
          <w:marBottom w:val="0"/>
          <w:divBdr>
            <w:top w:val="none" w:sz="0" w:space="0" w:color="auto"/>
            <w:left w:val="none" w:sz="0" w:space="0" w:color="auto"/>
            <w:bottom w:val="none" w:sz="0" w:space="0" w:color="auto"/>
            <w:right w:val="none" w:sz="0" w:space="0" w:color="auto"/>
          </w:divBdr>
        </w:div>
      </w:divsChild>
    </w:div>
    <w:div w:id="705519277">
      <w:bodyDiv w:val="1"/>
      <w:marLeft w:val="0"/>
      <w:marRight w:val="0"/>
      <w:marTop w:val="0"/>
      <w:marBottom w:val="0"/>
      <w:divBdr>
        <w:top w:val="none" w:sz="0" w:space="0" w:color="auto"/>
        <w:left w:val="none" w:sz="0" w:space="0" w:color="auto"/>
        <w:bottom w:val="none" w:sz="0" w:space="0" w:color="auto"/>
        <w:right w:val="none" w:sz="0" w:space="0" w:color="auto"/>
      </w:divBdr>
    </w:div>
    <w:div w:id="790712532">
      <w:bodyDiv w:val="1"/>
      <w:marLeft w:val="0"/>
      <w:marRight w:val="0"/>
      <w:marTop w:val="0"/>
      <w:marBottom w:val="0"/>
      <w:divBdr>
        <w:top w:val="none" w:sz="0" w:space="0" w:color="auto"/>
        <w:left w:val="none" w:sz="0" w:space="0" w:color="auto"/>
        <w:bottom w:val="none" w:sz="0" w:space="0" w:color="auto"/>
        <w:right w:val="none" w:sz="0" w:space="0" w:color="auto"/>
      </w:divBdr>
      <w:divsChild>
        <w:div w:id="1098135674">
          <w:marLeft w:val="547"/>
          <w:marRight w:val="0"/>
          <w:marTop w:val="0"/>
          <w:marBottom w:val="0"/>
          <w:divBdr>
            <w:top w:val="none" w:sz="0" w:space="0" w:color="auto"/>
            <w:left w:val="none" w:sz="0" w:space="0" w:color="auto"/>
            <w:bottom w:val="none" w:sz="0" w:space="0" w:color="auto"/>
            <w:right w:val="none" w:sz="0" w:space="0" w:color="auto"/>
          </w:divBdr>
        </w:div>
      </w:divsChild>
    </w:div>
    <w:div w:id="814831189">
      <w:bodyDiv w:val="1"/>
      <w:marLeft w:val="0"/>
      <w:marRight w:val="0"/>
      <w:marTop w:val="0"/>
      <w:marBottom w:val="0"/>
      <w:divBdr>
        <w:top w:val="none" w:sz="0" w:space="0" w:color="auto"/>
        <w:left w:val="none" w:sz="0" w:space="0" w:color="auto"/>
        <w:bottom w:val="none" w:sz="0" w:space="0" w:color="auto"/>
        <w:right w:val="none" w:sz="0" w:space="0" w:color="auto"/>
      </w:divBdr>
      <w:divsChild>
        <w:div w:id="297222216">
          <w:marLeft w:val="0"/>
          <w:marRight w:val="0"/>
          <w:marTop w:val="0"/>
          <w:marBottom w:val="0"/>
          <w:divBdr>
            <w:top w:val="none" w:sz="0" w:space="0" w:color="auto"/>
            <w:left w:val="none" w:sz="0" w:space="0" w:color="auto"/>
            <w:bottom w:val="none" w:sz="0" w:space="0" w:color="auto"/>
            <w:right w:val="none" w:sz="0" w:space="0" w:color="auto"/>
          </w:divBdr>
        </w:div>
        <w:div w:id="2046634364">
          <w:marLeft w:val="0"/>
          <w:marRight w:val="0"/>
          <w:marTop w:val="0"/>
          <w:marBottom w:val="0"/>
          <w:divBdr>
            <w:top w:val="none" w:sz="0" w:space="0" w:color="auto"/>
            <w:left w:val="none" w:sz="0" w:space="0" w:color="auto"/>
            <w:bottom w:val="none" w:sz="0" w:space="0" w:color="auto"/>
            <w:right w:val="none" w:sz="0" w:space="0" w:color="auto"/>
          </w:divBdr>
          <w:divsChild>
            <w:div w:id="613512847">
              <w:marLeft w:val="-75"/>
              <w:marRight w:val="0"/>
              <w:marTop w:val="30"/>
              <w:marBottom w:val="30"/>
              <w:divBdr>
                <w:top w:val="none" w:sz="0" w:space="0" w:color="auto"/>
                <w:left w:val="none" w:sz="0" w:space="0" w:color="auto"/>
                <w:bottom w:val="none" w:sz="0" w:space="0" w:color="auto"/>
                <w:right w:val="none" w:sz="0" w:space="0" w:color="auto"/>
              </w:divBdr>
              <w:divsChild>
                <w:div w:id="10642995">
                  <w:marLeft w:val="0"/>
                  <w:marRight w:val="0"/>
                  <w:marTop w:val="0"/>
                  <w:marBottom w:val="0"/>
                  <w:divBdr>
                    <w:top w:val="none" w:sz="0" w:space="0" w:color="auto"/>
                    <w:left w:val="none" w:sz="0" w:space="0" w:color="auto"/>
                    <w:bottom w:val="none" w:sz="0" w:space="0" w:color="auto"/>
                    <w:right w:val="none" w:sz="0" w:space="0" w:color="auto"/>
                  </w:divBdr>
                  <w:divsChild>
                    <w:div w:id="628634247">
                      <w:marLeft w:val="0"/>
                      <w:marRight w:val="0"/>
                      <w:marTop w:val="0"/>
                      <w:marBottom w:val="0"/>
                      <w:divBdr>
                        <w:top w:val="none" w:sz="0" w:space="0" w:color="auto"/>
                        <w:left w:val="none" w:sz="0" w:space="0" w:color="auto"/>
                        <w:bottom w:val="none" w:sz="0" w:space="0" w:color="auto"/>
                        <w:right w:val="none" w:sz="0" w:space="0" w:color="auto"/>
                      </w:divBdr>
                    </w:div>
                  </w:divsChild>
                </w:div>
                <w:div w:id="96482407">
                  <w:marLeft w:val="0"/>
                  <w:marRight w:val="0"/>
                  <w:marTop w:val="0"/>
                  <w:marBottom w:val="0"/>
                  <w:divBdr>
                    <w:top w:val="none" w:sz="0" w:space="0" w:color="auto"/>
                    <w:left w:val="none" w:sz="0" w:space="0" w:color="auto"/>
                    <w:bottom w:val="none" w:sz="0" w:space="0" w:color="auto"/>
                    <w:right w:val="none" w:sz="0" w:space="0" w:color="auto"/>
                  </w:divBdr>
                  <w:divsChild>
                    <w:div w:id="1926068339">
                      <w:marLeft w:val="0"/>
                      <w:marRight w:val="0"/>
                      <w:marTop w:val="0"/>
                      <w:marBottom w:val="0"/>
                      <w:divBdr>
                        <w:top w:val="none" w:sz="0" w:space="0" w:color="auto"/>
                        <w:left w:val="none" w:sz="0" w:space="0" w:color="auto"/>
                        <w:bottom w:val="none" w:sz="0" w:space="0" w:color="auto"/>
                        <w:right w:val="none" w:sz="0" w:space="0" w:color="auto"/>
                      </w:divBdr>
                    </w:div>
                  </w:divsChild>
                </w:div>
                <w:div w:id="105316697">
                  <w:marLeft w:val="0"/>
                  <w:marRight w:val="0"/>
                  <w:marTop w:val="0"/>
                  <w:marBottom w:val="0"/>
                  <w:divBdr>
                    <w:top w:val="none" w:sz="0" w:space="0" w:color="auto"/>
                    <w:left w:val="none" w:sz="0" w:space="0" w:color="auto"/>
                    <w:bottom w:val="none" w:sz="0" w:space="0" w:color="auto"/>
                    <w:right w:val="none" w:sz="0" w:space="0" w:color="auto"/>
                  </w:divBdr>
                  <w:divsChild>
                    <w:div w:id="1600944867">
                      <w:marLeft w:val="0"/>
                      <w:marRight w:val="0"/>
                      <w:marTop w:val="0"/>
                      <w:marBottom w:val="0"/>
                      <w:divBdr>
                        <w:top w:val="none" w:sz="0" w:space="0" w:color="auto"/>
                        <w:left w:val="none" w:sz="0" w:space="0" w:color="auto"/>
                        <w:bottom w:val="none" w:sz="0" w:space="0" w:color="auto"/>
                        <w:right w:val="none" w:sz="0" w:space="0" w:color="auto"/>
                      </w:divBdr>
                    </w:div>
                  </w:divsChild>
                </w:div>
                <w:div w:id="121922369">
                  <w:marLeft w:val="0"/>
                  <w:marRight w:val="0"/>
                  <w:marTop w:val="0"/>
                  <w:marBottom w:val="0"/>
                  <w:divBdr>
                    <w:top w:val="none" w:sz="0" w:space="0" w:color="auto"/>
                    <w:left w:val="none" w:sz="0" w:space="0" w:color="auto"/>
                    <w:bottom w:val="none" w:sz="0" w:space="0" w:color="auto"/>
                    <w:right w:val="none" w:sz="0" w:space="0" w:color="auto"/>
                  </w:divBdr>
                  <w:divsChild>
                    <w:div w:id="1927154165">
                      <w:marLeft w:val="0"/>
                      <w:marRight w:val="0"/>
                      <w:marTop w:val="0"/>
                      <w:marBottom w:val="0"/>
                      <w:divBdr>
                        <w:top w:val="none" w:sz="0" w:space="0" w:color="auto"/>
                        <w:left w:val="none" w:sz="0" w:space="0" w:color="auto"/>
                        <w:bottom w:val="none" w:sz="0" w:space="0" w:color="auto"/>
                        <w:right w:val="none" w:sz="0" w:space="0" w:color="auto"/>
                      </w:divBdr>
                    </w:div>
                  </w:divsChild>
                </w:div>
                <w:div w:id="123423676">
                  <w:marLeft w:val="0"/>
                  <w:marRight w:val="0"/>
                  <w:marTop w:val="0"/>
                  <w:marBottom w:val="0"/>
                  <w:divBdr>
                    <w:top w:val="none" w:sz="0" w:space="0" w:color="auto"/>
                    <w:left w:val="none" w:sz="0" w:space="0" w:color="auto"/>
                    <w:bottom w:val="none" w:sz="0" w:space="0" w:color="auto"/>
                    <w:right w:val="none" w:sz="0" w:space="0" w:color="auto"/>
                  </w:divBdr>
                  <w:divsChild>
                    <w:div w:id="734470393">
                      <w:marLeft w:val="0"/>
                      <w:marRight w:val="0"/>
                      <w:marTop w:val="0"/>
                      <w:marBottom w:val="0"/>
                      <w:divBdr>
                        <w:top w:val="none" w:sz="0" w:space="0" w:color="auto"/>
                        <w:left w:val="none" w:sz="0" w:space="0" w:color="auto"/>
                        <w:bottom w:val="none" w:sz="0" w:space="0" w:color="auto"/>
                        <w:right w:val="none" w:sz="0" w:space="0" w:color="auto"/>
                      </w:divBdr>
                    </w:div>
                  </w:divsChild>
                </w:div>
                <w:div w:id="129052352">
                  <w:marLeft w:val="0"/>
                  <w:marRight w:val="0"/>
                  <w:marTop w:val="0"/>
                  <w:marBottom w:val="0"/>
                  <w:divBdr>
                    <w:top w:val="none" w:sz="0" w:space="0" w:color="auto"/>
                    <w:left w:val="none" w:sz="0" w:space="0" w:color="auto"/>
                    <w:bottom w:val="none" w:sz="0" w:space="0" w:color="auto"/>
                    <w:right w:val="none" w:sz="0" w:space="0" w:color="auto"/>
                  </w:divBdr>
                  <w:divsChild>
                    <w:div w:id="1915511255">
                      <w:marLeft w:val="0"/>
                      <w:marRight w:val="0"/>
                      <w:marTop w:val="0"/>
                      <w:marBottom w:val="0"/>
                      <w:divBdr>
                        <w:top w:val="none" w:sz="0" w:space="0" w:color="auto"/>
                        <w:left w:val="none" w:sz="0" w:space="0" w:color="auto"/>
                        <w:bottom w:val="none" w:sz="0" w:space="0" w:color="auto"/>
                        <w:right w:val="none" w:sz="0" w:space="0" w:color="auto"/>
                      </w:divBdr>
                    </w:div>
                  </w:divsChild>
                </w:div>
                <w:div w:id="162089701">
                  <w:marLeft w:val="0"/>
                  <w:marRight w:val="0"/>
                  <w:marTop w:val="0"/>
                  <w:marBottom w:val="0"/>
                  <w:divBdr>
                    <w:top w:val="none" w:sz="0" w:space="0" w:color="auto"/>
                    <w:left w:val="none" w:sz="0" w:space="0" w:color="auto"/>
                    <w:bottom w:val="none" w:sz="0" w:space="0" w:color="auto"/>
                    <w:right w:val="none" w:sz="0" w:space="0" w:color="auto"/>
                  </w:divBdr>
                  <w:divsChild>
                    <w:div w:id="1233586994">
                      <w:marLeft w:val="0"/>
                      <w:marRight w:val="0"/>
                      <w:marTop w:val="0"/>
                      <w:marBottom w:val="0"/>
                      <w:divBdr>
                        <w:top w:val="none" w:sz="0" w:space="0" w:color="auto"/>
                        <w:left w:val="none" w:sz="0" w:space="0" w:color="auto"/>
                        <w:bottom w:val="none" w:sz="0" w:space="0" w:color="auto"/>
                        <w:right w:val="none" w:sz="0" w:space="0" w:color="auto"/>
                      </w:divBdr>
                    </w:div>
                  </w:divsChild>
                </w:div>
                <w:div w:id="163472515">
                  <w:marLeft w:val="0"/>
                  <w:marRight w:val="0"/>
                  <w:marTop w:val="0"/>
                  <w:marBottom w:val="0"/>
                  <w:divBdr>
                    <w:top w:val="none" w:sz="0" w:space="0" w:color="auto"/>
                    <w:left w:val="none" w:sz="0" w:space="0" w:color="auto"/>
                    <w:bottom w:val="none" w:sz="0" w:space="0" w:color="auto"/>
                    <w:right w:val="none" w:sz="0" w:space="0" w:color="auto"/>
                  </w:divBdr>
                  <w:divsChild>
                    <w:div w:id="2098400053">
                      <w:marLeft w:val="0"/>
                      <w:marRight w:val="0"/>
                      <w:marTop w:val="0"/>
                      <w:marBottom w:val="0"/>
                      <w:divBdr>
                        <w:top w:val="none" w:sz="0" w:space="0" w:color="auto"/>
                        <w:left w:val="none" w:sz="0" w:space="0" w:color="auto"/>
                        <w:bottom w:val="none" w:sz="0" w:space="0" w:color="auto"/>
                        <w:right w:val="none" w:sz="0" w:space="0" w:color="auto"/>
                      </w:divBdr>
                    </w:div>
                  </w:divsChild>
                </w:div>
                <w:div w:id="203834976">
                  <w:marLeft w:val="0"/>
                  <w:marRight w:val="0"/>
                  <w:marTop w:val="0"/>
                  <w:marBottom w:val="0"/>
                  <w:divBdr>
                    <w:top w:val="none" w:sz="0" w:space="0" w:color="auto"/>
                    <w:left w:val="none" w:sz="0" w:space="0" w:color="auto"/>
                    <w:bottom w:val="none" w:sz="0" w:space="0" w:color="auto"/>
                    <w:right w:val="none" w:sz="0" w:space="0" w:color="auto"/>
                  </w:divBdr>
                  <w:divsChild>
                    <w:div w:id="641928523">
                      <w:marLeft w:val="0"/>
                      <w:marRight w:val="0"/>
                      <w:marTop w:val="0"/>
                      <w:marBottom w:val="0"/>
                      <w:divBdr>
                        <w:top w:val="none" w:sz="0" w:space="0" w:color="auto"/>
                        <w:left w:val="none" w:sz="0" w:space="0" w:color="auto"/>
                        <w:bottom w:val="none" w:sz="0" w:space="0" w:color="auto"/>
                        <w:right w:val="none" w:sz="0" w:space="0" w:color="auto"/>
                      </w:divBdr>
                    </w:div>
                  </w:divsChild>
                </w:div>
                <w:div w:id="223953465">
                  <w:marLeft w:val="0"/>
                  <w:marRight w:val="0"/>
                  <w:marTop w:val="0"/>
                  <w:marBottom w:val="0"/>
                  <w:divBdr>
                    <w:top w:val="none" w:sz="0" w:space="0" w:color="auto"/>
                    <w:left w:val="none" w:sz="0" w:space="0" w:color="auto"/>
                    <w:bottom w:val="none" w:sz="0" w:space="0" w:color="auto"/>
                    <w:right w:val="none" w:sz="0" w:space="0" w:color="auto"/>
                  </w:divBdr>
                  <w:divsChild>
                    <w:div w:id="194581045">
                      <w:marLeft w:val="0"/>
                      <w:marRight w:val="0"/>
                      <w:marTop w:val="0"/>
                      <w:marBottom w:val="0"/>
                      <w:divBdr>
                        <w:top w:val="none" w:sz="0" w:space="0" w:color="auto"/>
                        <w:left w:val="none" w:sz="0" w:space="0" w:color="auto"/>
                        <w:bottom w:val="none" w:sz="0" w:space="0" w:color="auto"/>
                        <w:right w:val="none" w:sz="0" w:space="0" w:color="auto"/>
                      </w:divBdr>
                    </w:div>
                  </w:divsChild>
                </w:div>
                <w:div w:id="323243868">
                  <w:marLeft w:val="0"/>
                  <w:marRight w:val="0"/>
                  <w:marTop w:val="0"/>
                  <w:marBottom w:val="0"/>
                  <w:divBdr>
                    <w:top w:val="none" w:sz="0" w:space="0" w:color="auto"/>
                    <w:left w:val="none" w:sz="0" w:space="0" w:color="auto"/>
                    <w:bottom w:val="none" w:sz="0" w:space="0" w:color="auto"/>
                    <w:right w:val="none" w:sz="0" w:space="0" w:color="auto"/>
                  </w:divBdr>
                  <w:divsChild>
                    <w:div w:id="1241863471">
                      <w:marLeft w:val="0"/>
                      <w:marRight w:val="0"/>
                      <w:marTop w:val="0"/>
                      <w:marBottom w:val="0"/>
                      <w:divBdr>
                        <w:top w:val="none" w:sz="0" w:space="0" w:color="auto"/>
                        <w:left w:val="none" w:sz="0" w:space="0" w:color="auto"/>
                        <w:bottom w:val="none" w:sz="0" w:space="0" w:color="auto"/>
                        <w:right w:val="none" w:sz="0" w:space="0" w:color="auto"/>
                      </w:divBdr>
                    </w:div>
                  </w:divsChild>
                </w:div>
                <w:div w:id="351954414">
                  <w:marLeft w:val="0"/>
                  <w:marRight w:val="0"/>
                  <w:marTop w:val="0"/>
                  <w:marBottom w:val="0"/>
                  <w:divBdr>
                    <w:top w:val="none" w:sz="0" w:space="0" w:color="auto"/>
                    <w:left w:val="none" w:sz="0" w:space="0" w:color="auto"/>
                    <w:bottom w:val="none" w:sz="0" w:space="0" w:color="auto"/>
                    <w:right w:val="none" w:sz="0" w:space="0" w:color="auto"/>
                  </w:divBdr>
                  <w:divsChild>
                    <w:div w:id="1551845712">
                      <w:marLeft w:val="0"/>
                      <w:marRight w:val="0"/>
                      <w:marTop w:val="0"/>
                      <w:marBottom w:val="0"/>
                      <w:divBdr>
                        <w:top w:val="none" w:sz="0" w:space="0" w:color="auto"/>
                        <w:left w:val="none" w:sz="0" w:space="0" w:color="auto"/>
                        <w:bottom w:val="none" w:sz="0" w:space="0" w:color="auto"/>
                        <w:right w:val="none" w:sz="0" w:space="0" w:color="auto"/>
                      </w:divBdr>
                    </w:div>
                  </w:divsChild>
                </w:div>
                <w:div w:id="406730343">
                  <w:marLeft w:val="0"/>
                  <w:marRight w:val="0"/>
                  <w:marTop w:val="0"/>
                  <w:marBottom w:val="0"/>
                  <w:divBdr>
                    <w:top w:val="none" w:sz="0" w:space="0" w:color="auto"/>
                    <w:left w:val="none" w:sz="0" w:space="0" w:color="auto"/>
                    <w:bottom w:val="none" w:sz="0" w:space="0" w:color="auto"/>
                    <w:right w:val="none" w:sz="0" w:space="0" w:color="auto"/>
                  </w:divBdr>
                  <w:divsChild>
                    <w:div w:id="1628856831">
                      <w:marLeft w:val="0"/>
                      <w:marRight w:val="0"/>
                      <w:marTop w:val="0"/>
                      <w:marBottom w:val="0"/>
                      <w:divBdr>
                        <w:top w:val="none" w:sz="0" w:space="0" w:color="auto"/>
                        <w:left w:val="none" w:sz="0" w:space="0" w:color="auto"/>
                        <w:bottom w:val="none" w:sz="0" w:space="0" w:color="auto"/>
                        <w:right w:val="none" w:sz="0" w:space="0" w:color="auto"/>
                      </w:divBdr>
                    </w:div>
                  </w:divsChild>
                </w:div>
                <w:div w:id="506141127">
                  <w:marLeft w:val="0"/>
                  <w:marRight w:val="0"/>
                  <w:marTop w:val="0"/>
                  <w:marBottom w:val="0"/>
                  <w:divBdr>
                    <w:top w:val="none" w:sz="0" w:space="0" w:color="auto"/>
                    <w:left w:val="none" w:sz="0" w:space="0" w:color="auto"/>
                    <w:bottom w:val="none" w:sz="0" w:space="0" w:color="auto"/>
                    <w:right w:val="none" w:sz="0" w:space="0" w:color="auto"/>
                  </w:divBdr>
                  <w:divsChild>
                    <w:div w:id="1752770597">
                      <w:marLeft w:val="0"/>
                      <w:marRight w:val="0"/>
                      <w:marTop w:val="0"/>
                      <w:marBottom w:val="0"/>
                      <w:divBdr>
                        <w:top w:val="none" w:sz="0" w:space="0" w:color="auto"/>
                        <w:left w:val="none" w:sz="0" w:space="0" w:color="auto"/>
                        <w:bottom w:val="none" w:sz="0" w:space="0" w:color="auto"/>
                        <w:right w:val="none" w:sz="0" w:space="0" w:color="auto"/>
                      </w:divBdr>
                    </w:div>
                  </w:divsChild>
                </w:div>
                <w:div w:id="506409268">
                  <w:marLeft w:val="0"/>
                  <w:marRight w:val="0"/>
                  <w:marTop w:val="0"/>
                  <w:marBottom w:val="0"/>
                  <w:divBdr>
                    <w:top w:val="none" w:sz="0" w:space="0" w:color="auto"/>
                    <w:left w:val="none" w:sz="0" w:space="0" w:color="auto"/>
                    <w:bottom w:val="none" w:sz="0" w:space="0" w:color="auto"/>
                    <w:right w:val="none" w:sz="0" w:space="0" w:color="auto"/>
                  </w:divBdr>
                  <w:divsChild>
                    <w:div w:id="501353483">
                      <w:marLeft w:val="0"/>
                      <w:marRight w:val="0"/>
                      <w:marTop w:val="0"/>
                      <w:marBottom w:val="0"/>
                      <w:divBdr>
                        <w:top w:val="none" w:sz="0" w:space="0" w:color="auto"/>
                        <w:left w:val="none" w:sz="0" w:space="0" w:color="auto"/>
                        <w:bottom w:val="none" w:sz="0" w:space="0" w:color="auto"/>
                        <w:right w:val="none" w:sz="0" w:space="0" w:color="auto"/>
                      </w:divBdr>
                    </w:div>
                  </w:divsChild>
                </w:div>
                <w:div w:id="543257016">
                  <w:marLeft w:val="0"/>
                  <w:marRight w:val="0"/>
                  <w:marTop w:val="0"/>
                  <w:marBottom w:val="0"/>
                  <w:divBdr>
                    <w:top w:val="none" w:sz="0" w:space="0" w:color="auto"/>
                    <w:left w:val="none" w:sz="0" w:space="0" w:color="auto"/>
                    <w:bottom w:val="none" w:sz="0" w:space="0" w:color="auto"/>
                    <w:right w:val="none" w:sz="0" w:space="0" w:color="auto"/>
                  </w:divBdr>
                  <w:divsChild>
                    <w:div w:id="1948999951">
                      <w:marLeft w:val="0"/>
                      <w:marRight w:val="0"/>
                      <w:marTop w:val="0"/>
                      <w:marBottom w:val="0"/>
                      <w:divBdr>
                        <w:top w:val="none" w:sz="0" w:space="0" w:color="auto"/>
                        <w:left w:val="none" w:sz="0" w:space="0" w:color="auto"/>
                        <w:bottom w:val="none" w:sz="0" w:space="0" w:color="auto"/>
                        <w:right w:val="none" w:sz="0" w:space="0" w:color="auto"/>
                      </w:divBdr>
                    </w:div>
                  </w:divsChild>
                </w:div>
                <w:div w:id="569728106">
                  <w:marLeft w:val="0"/>
                  <w:marRight w:val="0"/>
                  <w:marTop w:val="0"/>
                  <w:marBottom w:val="0"/>
                  <w:divBdr>
                    <w:top w:val="none" w:sz="0" w:space="0" w:color="auto"/>
                    <w:left w:val="none" w:sz="0" w:space="0" w:color="auto"/>
                    <w:bottom w:val="none" w:sz="0" w:space="0" w:color="auto"/>
                    <w:right w:val="none" w:sz="0" w:space="0" w:color="auto"/>
                  </w:divBdr>
                  <w:divsChild>
                    <w:div w:id="604116247">
                      <w:marLeft w:val="0"/>
                      <w:marRight w:val="0"/>
                      <w:marTop w:val="0"/>
                      <w:marBottom w:val="0"/>
                      <w:divBdr>
                        <w:top w:val="none" w:sz="0" w:space="0" w:color="auto"/>
                        <w:left w:val="none" w:sz="0" w:space="0" w:color="auto"/>
                        <w:bottom w:val="none" w:sz="0" w:space="0" w:color="auto"/>
                        <w:right w:val="none" w:sz="0" w:space="0" w:color="auto"/>
                      </w:divBdr>
                    </w:div>
                  </w:divsChild>
                </w:div>
                <w:div w:id="618071189">
                  <w:marLeft w:val="0"/>
                  <w:marRight w:val="0"/>
                  <w:marTop w:val="0"/>
                  <w:marBottom w:val="0"/>
                  <w:divBdr>
                    <w:top w:val="none" w:sz="0" w:space="0" w:color="auto"/>
                    <w:left w:val="none" w:sz="0" w:space="0" w:color="auto"/>
                    <w:bottom w:val="none" w:sz="0" w:space="0" w:color="auto"/>
                    <w:right w:val="none" w:sz="0" w:space="0" w:color="auto"/>
                  </w:divBdr>
                  <w:divsChild>
                    <w:div w:id="2010523632">
                      <w:marLeft w:val="0"/>
                      <w:marRight w:val="0"/>
                      <w:marTop w:val="0"/>
                      <w:marBottom w:val="0"/>
                      <w:divBdr>
                        <w:top w:val="none" w:sz="0" w:space="0" w:color="auto"/>
                        <w:left w:val="none" w:sz="0" w:space="0" w:color="auto"/>
                        <w:bottom w:val="none" w:sz="0" w:space="0" w:color="auto"/>
                        <w:right w:val="none" w:sz="0" w:space="0" w:color="auto"/>
                      </w:divBdr>
                    </w:div>
                  </w:divsChild>
                </w:div>
                <w:div w:id="683286571">
                  <w:marLeft w:val="0"/>
                  <w:marRight w:val="0"/>
                  <w:marTop w:val="0"/>
                  <w:marBottom w:val="0"/>
                  <w:divBdr>
                    <w:top w:val="none" w:sz="0" w:space="0" w:color="auto"/>
                    <w:left w:val="none" w:sz="0" w:space="0" w:color="auto"/>
                    <w:bottom w:val="none" w:sz="0" w:space="0" w:color="auto"/>
                    <w:right w:val="none" w:sz="0" w:space="0" w:color="auto"/>
                  </w:divBdr>
                  <w:divsChild>
                    <w:div w:id="1323461187">
                      <w:marLeft w:val="0"/>
                      <w:marRight w:val="0"/>
                      <w:marTop w:val="0"/>
                      <w:marBottom w:val="0"/>
                      <w:divBdr>
                        <w:top w:val="none" w:sz="0" w:space="0" w:color="auto"/>
                        <w:left w:val="none" w:sz="0" w:space="0" w:color="auto"/>
                        <w:bottom w:val="none" w:sz="0" w:space="0" w:color="auto"/>
                        <w:right w:val="none" w:sz="0" w:space="0" w:color="auto"/>
                      </w:divBdr>
                    </w:div>
                  </w:divsChild>
                </w:div>
                <w:div w:id="686908193">
                  <w:marLeft w:val="0"/>
                  <w:marRight w:val="0"/>
                  <w:marTop w:val="0"/>
                  <w:marBottom w:val="0"/>
                  <w:divBdr>
                    <w:top w:val="none" w:sz="0" w:space="0" w:color="auto"/>
                    <w:left w:val="none" w:sz="0" w:space="0" w:color="auto"/>
                    <w:bottom w:val="none" w:sz="0" w:space="0" w:color="auto"/>
                    <w:right w:val="none" w:sz="0" w:space="0" w:color="auto"/>
                  </w:divBdr>
                  <w:divsChild>
                    <w:div w:id="1144271907">
                      <w:marLeft w:val="0"/>
                      <w:marRight w:val="0"/>
                      <w:marTop w:val="0"/>
                      <w:marBottom w:val="0"/>
                      <w:divBdr>
                        <w:top w:val="none" w:sz="0" w:space="0" w:color="auto"/>
                        <w:left w:val="none" w:sz="0" w:space="0" w:color="auto"/>
                        <w:bottom w:val="none" w:sz="0" w:space="0" w:color="auto"/>
                        <w:right w:val="none" w:sz="0" w:space="0" w:color="auto"/>
                      </w:divBdr>
                    </w:div>
                  </w:divsChild>
                </w:div>
                <w:div w:id="790710605">
                  <w:marLeft w:val="0"/>
                  <w:marRight w:val="0"/>
                  <w:marTop w:val="0"/>
                  <w:marBottom w:val="0"/>
                  <w:divBdr>
                    <w:top w:val="none" w:sz="0" w:space="0" w:color="auto"/>
                    <w:left w:val="none" w:sz="0" w:space="0" w:color="auto"/>
                    <w:bottom w:val="none" w:sz="0" w:space="0" w:color="auto"/>
                    <w:right w:val="none" w:sz="0" w:space="0" w:color="auto"/>
                  </w:divBdr>
                  <w:divsChild>
                    <w:div w:id="328411547">
                      <w:marLeft w:val="0"/>
                      <w:marRight w:val="0"/>
                      <w:marTop w:val="0"/>
                      <w:marBottom w:val="0"/>
                      <w:divBdr>
                        <w:top w:val="none" w:sz="0" w:space="0" w:color="auto"/>
                        <w:left w:val="none" w:sz="0" w:space="0" w:color="auto"/>
                        <w:bottom w:val="none" w:sz="0" w:space="0" w:color="auto"/>
                        <w:right w:val="none" w:sz="0" w:space="0" w:color="auto"/>
                      </w:divBdr>
                    </w:div>
                  </w:divsChild>
                </w:div>
                <w:div w:id="811097892">
                  <w:marLeft w:val="0"/>
                  <w:marRight w:val="0"/>
                  <w:marTop w:val="0"/>
                  <w:marBottom w:val="0"/>
                  <w:divBdr>
                    <w:top w:val="none" w:sz="0" w:space="0" w:color="auto"/>
                    <w:left w:val="none" w:sz="0" w:space="0" w:color="auto"/>
                    <w:bottom w:val="none" w:sz="0" w:space="0" w:color="auto"/>
                    <w:right w:val="none" w:sz="0" w:space="0" w:color="auto"/>
                  </w:divBdr>
                  <w:divsChild>
                    <w:div w:id="1855340383">
                      <w:marLeft w:val="0"/>
                      <w:marRight w:val="0"/>
                      <w:marTop w:val="0"/>
                      <w:marBottom w:val="0"/>
                      <w:divBdr>
                        <w:top w:val="none" w:sz="0" w:space="0" w:color="auto"/>
                        <w:left w:val="none" w:sz="0" w:space="0" w:color="auto"/>
                        <w:bottom w:val="none" w:sz="0" w:space="0" w:color="auto"/>
                        <w:right w:val="none" w:sz="0" w:space="0" w:color="auto"/>
                      </w:divBdr>
                    </w:div>
                  </w:divsChild>
                </w:div>
                <w:div w:id="818034162">
                  <w:marLeft w:val="0"/>
                  <w:marRight w:val="0"/>
                  <w:marTop w:val="0"/>
                  <w:marBottom w:val="0"/>
                  <w:divBdr>
                    <w:top w:val="none" w:sz="0" w:space="0" w:color="auto"/>
                    <w:left w:val="none" w:sz="0" w:space="0" w:color="auto"/>
                    <w:bottom w:val="none" w:sz="0" w:space="0" w:color="auto"/>
                    <w:right w:val="none" w:sz="0" w:space="0" w:color="auto"/>
                  </w:divBdr>
                  <w:divsChild>
                    <w:div w:id="953364041">
                      <w:marLeft w:val="0"/>
                      <w:marRight w:val="0"/>
                      <w:marTop w:val="0"/>
                      <w:marBottom w:val="0"/>
                      <w:divBdr>
                        <w:top w:val="none" w:sz="0" w:space="0" w:color="auto"/>
                        <w:left w:val="none" w:sz="0" w:space="0" w:color="auto"/>
                        <w:bottom w:val="none" w:sz="0" w:space="0" w:color="auto"/>
                        <w:right w:val="none" w:sz="0" w:space="0" w:color="auto"/>
                      </w:divBdr>
                    </w:div>
                  </w:divsChild>
                </w:div>
                <w:div w:id="830951488">
                  <w:marLeft w:val="0"/>
                  <w:marRight w:val="0"/>
                  <w:marTop w:val="0"/>
                  <w:marBottom w:val="0"/>
                  <w:divBdr>
                    <w:top w:val="none" w:sz="0" w:space="0" w:color="auto"/>
                    <w:left w:val="none" w:sz="0" w:space="0" w:color="auto"/>
                    <w:bottom w:val="none" w:sz="0" w:space="0" w:color="auto"/>
                    <w:right w:val="none" w:sz="0" w:space="0" w:color="auto"/>
                  </w:divBdr>
                  <w:divsChild>
                    <w:div w:id="1846557204">
                      <w:marLeft w:val="0"/>
                      <w:marRight w:val="0"/>
                      <w:marTop w:val="0"/>
                      <w:marBottom w:val="0"/>
                      <w:divBdr>
                        <w:top w:val="none" w:sz="0" w:space="0" w:color="auto"/>
                        <w:left w:val="none" w:sz="0" w:space="0" w:color="auto"/>
                        <w:bottom w:val="none" w:sz="0" w:space="0" w:color="auto"/>
                        <w:right w:val="none" w:sz="0" w:space="0" w:color="auto"/>
                      </w:divBdr>
                    </w:div>
                  </w:divsChild>
                </w:div>
                <w:div w:id="845946432">
                  <w:marLeft w:val="0"/>
                  <w:marRight w:val="0"/>
                  <w:marTop w:val="0"/>
                  <w:marBottom w:val="0"/>
                  <w:divBdr>
                    <w:top w:val="none" w:sz="0" w:space="0" w:color="auto"/>
                    <w:left w:val="none" w:sz="0" w:space="0" w:color="auto"/>
                    <w:bottom w:val="none" w:sz="0" w:space="0" w:color="auto"/>
                    <w:right w:val="none" w:sz="0" w:space="0" w:color="auto"/>
                  </w:divBdr>
                  <w:divsChild>
                    <w:div w:id="497497323">
                      <w:marLeft w:val="0"/>
                      <w:marRight w:val="0"/>
                      <w:marTop w:val="0"/>
                      <w:marBottom w:val="0"/>
                      <w:divBdr>
                        <w:top w:val="none" w:sz="0" w:space="0" w:color="auto"/>
                        <w:left w:val="none" w:sz="0" w:space="0" w:color="auto"/>
                        <w:bottom w:val="none" w:sz="0" w:space="0" w:color="auto"/>
                        <w:right w:val="none" w:sz="0" w:space="0" w:color="auto"/>
                      </w:divBdr>
                    </w:div>
                  </w:divsChild>
                </w:div>
                <w:div w:id="849414047">
                  <w:marLeft w:val="0"/>
                  <w:marRight w:val="0"/>
                  <w:marTop w:val="0"/>
                  <w:marBottom w:val="0"/>
                  <w:divBdr>
                    <w:top w:val="none" w:sz="0" w:space="0" w:color="auto"/>
                    <w:left w:val="none" w:sz="0" w:space="0" w:color="auto"/>
                    <w:bottom w:val="none" w:sz="0" w:space="0" w:color="auto"/>
                    <w:right w:val="none" w:sz="0" w:space="0" w:color="auto"/>
                  </w:divBdr>
                  <w:divsChild>
                    <w:div w:id="1162502606">
                      <w:marLeft w:val="0"/>
                      <w:marRight w:val="0"/>
                      <w:marTop w:val="0"/>
                      <w:marBottom w:val="0"/>
                      <w:divBdr>
                        <w:top w:val="none" w:sz="0" w:space="0" w:color="auto"/>
                        <w:left w:val="none" w:sz="0" w:space="0" w:color="auto"/>
                        <w:bottom w:val="none" w:sz="0" w:space="0" w:color="auto"/>
                        <w:right w:val="none" w:sz="0" w:space="0" w:color="auto"/>
                      </w:divBdr>
                    </w:div>
                  </w:divsChild>
                </w:div>
                <w:div w:id="873152952">
                  <w:marLeft w:val="0"/>
                  <w:marRight w:val="0"/>
                  <w:marTop w:val="0"/>
                  <w:marBottom w:val="0"/>
                  <w:divBdr>
                    <w:top w:val="none" w:sz="0" w:space="0" w:color="auto"/>
                    <w:left w:val="none" w:sz="0" w:space="0" w:color="auto"/>
                    <w:bottom w:val="none" w:sz="0" w:space="0" w:color="auto"/>
                    <w:right w:val="none" w:sz="0" w:space="0" w:color="auto"/>
                  </w:divBdr>
                  <w:divsChild>
                    <w:div w:id="607086927">
                      <w:marLeft w:val="0"/>
                      <w:marRight w:val="0"/>
                      <w:marTop w:val="0"/>
                      <w:marBottom w:val="0"/>
                      <w:divBdr>
                        <w:top w:val="none" w:sz="0" w:space="0" w:color="auto"/>
                        <w:left w:val="none" w:sz="0" w:space="0" w:color="auto"/>
                        <w:bottom w:val="none" w:sz="0" w:space="0" w:color="auto"/>
                        <w:right w:val="none" w:sz="0" w:space="0" w:color="auto"/>
                      </w:divBdr>
                    </w:div>
                  </w:divsChild>
                </w:div>
                <w:div w:id="960384488">
                  <w:marLeft w:val="0"/>
                  <w:marRight w:val="0"/>
                  <w:marTop w:val="0"/>
                  <w:marBottom w:val="0"/>
                  <w:divBdr>
                    <w:top w:val="none" w:sz="0" w:space="0" w:color="auto"/>
                    <w:left w:val="none" w:sz="0" w:space="0" w:color="auto"/>
                    <w:bottom w:val="none" w:sz="0" w:space="0" w:color="auto"/>
                    <w:right w:val="none" w:sz="0" w:space="0" w:color="auto"/>
                  </w:divBdr>
                  <w:divsChild>
                    <w:div w:id="1997025328">
                      <w:marLeft w:val="0"/>
                      <w:marRight w:val="0"/>
                      <w:marTop w:val="0"/>
                      <w:marBottom w:val="0"/>
                      <w:divBdr>
                        <w:top w:val="none" w:sz="0" w:space="0" w:color="auto"/>
                        <w:left w:val="none" w:sz="0" w:space="0" w:color="auto"/>
                        <w:bottom w:val="none" w:sz="0" w:space="0" w:color="auto"/>
                        <w:right w:val="none" w:sz="0" w:space="0" w:color="auto"/>
                      </w:divBdr>
                    </w:div>
                  </w:divsChild>
                </w:div>
                <w:div w:id="1069186721">
                  <w:marLeft w:val="0"/>
                  <w:marRight w:val="0"/>
                  <w:marTop w:val="0"/>
                  <w:marBottom w:val="0"/>
                  <w:divBdr>
                    <w:top w:val="none" w:sz="0" w:space="0" w:color="auto"/>
                    <w:left w:val="none" w:sz="0" w:space="0" w:color="auto"/>
                    <w:bottom w:val="none" w:sz="0" w:space="0" w:color="auto"/>
                    <w:right w:val="none" w:sz="0" w:space="0" w:color="auto"/>
                  </w:divBdr>
                  <w:divsChild>
                    <w:div w:id="276717523">
                      <w:marLeft w:val="0"/>
                      <w:marRight w:val="0"/>
                      <w:marTop w:val="0"/>
                      <w:marBottom w:val="0"/>
                      <w:divBdr>
                        <w:top w:val="none" w:sz="0" w:space="0" w:color="auto"/>
                        <w:left w:val="none" w:sz="0" w:space="0" w:color="auto"/>
                        <w:bottom w:val="none" w:sz="0" w:space="0" w:color="auto"/>
                        <w:right w:val="none" w:sz="0" w:space="0" w:color="auto"/>
                      </w:divBdr>
                    </w:div>
                  </w:divsChild>
                </w:div>
                <w:div w:id="1085152418">
                  <w:marLeft w:val="0"/>
                  <w:marRight w:val="0"/>
                  <w:marTop w:val="0"/>
                  <w:marBottom w:val="0"/>
                  <w:divBdr>
                    <w:top w:val="none" w:sz="0" w:space="0" w:color="auto"/>
                    <w:left w:val="none" w:sz="0" w:space="0" w:color="auto"/>
                    <w:bottom w:val="none" w:sz="0" w:space="0" w:color="auto"/>
                    <w:right w:val="none" w:sz="0" w:space="0" w:color="auto"/>
                  </w:divBdr>
                  <w:divsChild>
                    <w:div w:id="453326807">
                      <w:marLeft w:val="0"/>
                      <w:marRight w:val="0"/>
                      <w:marTop w:val="0"/>
                      <w:marBottom w:val="0"/>
                      <w:divBdr>
                        <w:top w:val="none" w:sz="0" w:space="0" w:color="auto"/>
                        <w:left w:val="none" w:sz="0" w:space="0" w:color="auto"/>
                        <w:bottom w:val="none" w:sz="0" w:space="0" w:color="auto"/>
                        <w:right w:val="none" w:sz="0" w:space="0" w:color="auto"/>
                      </w:divBdr>
                    </w:div>
                  </w:divsChild>
                </w:div>
                <w:div w:id="1092628584">
                  <w:marLeft w:val="0"/>
                  <w:marRight w:val="0"/>
                  <w:marTop w:val="0"/>
                  <w:marBottom w:val="0"/>
                  <w:divBdr>
                    <w:top w:val="none" w:sz="0" w:space="0" w:color="auto"/>
                    <w:left w:val="none" w:sz="0" w:space="0" w:color="auto"/>
                    <w:bottom w:val="none" w:sz="0" w:space="0" w:color="auto"/>
                    <w:right w:val="none" w:sz="0" w:space="0" w:color="auto"/>
                  </w:divBdr>
                  <w:divsChild>
                    <w:div w:id="1663659277">
                      <w:marLeft w:val="0"/>
                      <w:marRight w:val="0"/>
                      <w:marTop w:val="0"/>
                      <w:marBottom w:val="0"/>
                      <w:divBdr>
                        <w:top w:val="none" w:sz="0" w:space="0" w:color="auto"/>
                        <w:left w:val="none" w:sz="0" w:space="0" w:color="auto"/>
                        <w:bottom w:val="none" w:sz="0" w:space="0" w:color="auto"/>
                        <w:right w:val="none" w:sz="0" w:space="0" w:color="auto"/>
                      </w:divBdr>
                    </w:div>
                  </w:divsChild>
                </w:div>
                <w:div w:id="1171287351">
                  <w:marLeft w:val="0"/>
                  <w:marRight w:val="0"/>
                  <w:marTop w:val="0"/>
                  <w:marBottom w:val="0"/>
                  <w:divBdr>
                    <w:top w:val="none" w:sz="0" w:space="0" w:color="auto"/>
                    <w:left w:val="none" w:sz="0" w:space="0" w:color="auto"/>
                    <w:bottom w:val="none" w:sz="0" w:space="0" w:color="auto"/>
                    <w:right w:val="none" w:sz="0" w:space="0" w:color="auto"/>
                  </w:divBdr>
                  <w:divsChild>
                    <w:div w:id="1808935287">
                      <w:marLeft w:val="0"/>
                      <w:marRight w:val="0"/>
                      <w:marTop w:val="0"/>
                      <w:marBottom w:val="0"/>
                      <w:divBdr>
                        <w:top w:val="none" w:sz="0" w:space="0" w:color="auto"/>
                        <w:left w:val="none" w:sz="0" w:space="0" w:color="auto"/>
                        <w:bottom w:val="none" w:sz="0" w:space="0" w:color="auto"/>
                        <w:right w:val="none" w:sz="0" w:space="0" w:color="auto"/>
                      </w:divBdr>
                    </w:div>
                  </w:divsChild>
                </w:div>
                <w:div w:id="1195147227">
                  <w:marLeft w:val="0"/>
                  <w:marRight w:val="0"/>
                  <w:marTop w:val="0"/>
                  <w:marBottom w:val="0"/>
                  <w:divBdr>
                    <w:top w:val="none" w:sz="0" w:space="0" w:color="auto"/>
                    <w:left w:val="none" w:sz="0" w:space="0" w:color="auto"/>
                    <w:bottom w:val="none" w:sz="0" w:space="0" w:color="auto"/>
                    <w:right w:val="none" w:sz="0" w:space="0" w:color="auto"/>
                  </w:divBdr>
                  <w:divsChild>
                    <w:div w:id="2115251128">
                      <w:marLeft w:val="0"/>
                      <w:marRight w:val="0"/>
                      <w:marTop w:val="0"/>
                      <w:marBottom w:val="0"/>
                      <w:divBdr>
                        <w:top w:val="none" w:sz="0" w:space="0" w:color="auto"/>
                        <w:left w:val="none" w:sz="0" w:space="0" w:color="auto"/>
                        <w:bottom w:val="none" w:sz="0" w:space="0" w:color="auto"/>
                        <w:right w:val="none" w:sz="0" w:space="0" w:color="auto"/>
                      </w:divBdr>
                    </w:div>
                  </w:divsChild>
                </w:div>
                <w:div w:id="1227566892">
                  <w:marLeft w:val="0"/>
                  <w:marRight w:val="0"/>
                  <w:marTop w:val="0"/>
                  <w:marBottom w:val="0"/>
                  <w:divBdr>
                    <w:top w:val="none" w:sz="0" w:space="0" w:color="auto"/>
                    <w:left w:val="none" w:sz="0" w:space="0" w:color="auto"/>
                    <w:bottom w:val="none" w:sz="0" w:space="0" w:color="auto"/>
                    <w:right w:val="none" w:sz="0" w:space="0" w:color="auto"/>
                  </w:divBdr>
                  <w:divsChild>
                    <w:div w:id="605574989">
                      <w:marLeft w:val="0"/>
                      <w:marRight w:val="0"/>
                      <w:marTop w:val="0"/>
                      <w:marBottom w:val="0"/>
                      <w:divBdr>
                        <w:top w:val="none" w:sz="0" w:space="0" w:color="auto"/>
                        <w:left w:val="none" w:sz="0" w:space="0" w:color="auto"/>
                        <w:bottom w:val="none" w:sz="0" w:space="0" w:color="auto"/>
                        <w:right w:val="none" w:sz="0" w:space="0" w:color="auto"/>
                      </w:divBdr>
                    </w:div>
                  </w:divsChild>
                </w:div>
                <w:div w:id="1228296901">
                  <w:marLeft w:val="0"/>
                  <w:marRight w:val="0"/>
                  <w:marTop w:val="0"/>
                  <w:marBottom w:val="0"/>
                  <w:divBdr>
                    <w:top w:val="none" w:sz="0" w:space="0" w:color="auto"/>
                    <w:left w:val="none" w:sz="0" w:space="0" w:color="auto"/>
                    <w:bottom w:val="none" w:sz="0" w:space="0" w:color="auto"/>
                    <w:right w:val="none" w:sz="0" w:space="0" w:color="auto"/>
                  </w:divBdr>
                  <w:divsChild>
                    <w:div w:id="374043404">
                      <w:marLeft w:val="0"/>
                      <w:marRight w:val="0"/>
                      <w:marTop w:val="0"/>
                      <w:marBottom w:val="0"/>
                      <w:divBdr>
                        <w:top w:val="none" w:sz="0" w:space="0" w:color="auto"/>
                        <w:left w:val="none" w:sz="0" w:space="0" w:color="auto"/>
                        <w:bottom w:val="none" w:sz="0" w:space="0" w:color="auto"/>
                        <w:right w:val="none" w:sz="0" w:space="0" w:color="auto"/>
                      </w:divBdr>
                    </w:div>
                  </w:divsChild>
                </w:div>
                <w:div w:id="1300186286">
                  <w:marLeft w:val="0"/>
                  <w:marRight w:val="0"/>
                  <w:marTop w:val="0"/>
                  <w:marBottom w:val="0"/>
                  <w:divBdr>
                    <w:top w:val="none" w:sz="0" w:space="0" w:color="auto"/>
                    <w:left w:val="none" w:sz="0" w:space="0" w:color="auto"/>
                    <w:bottom w:val="none" w:sz="0" w:space="0" w:color="auto"/>
                    <w:right w:val="none" w:sz="0" w:space="0" w:color="auto"/>
                  </w:divBdr>
                  <w:divsChild>
                    <w:div w:id="752510515">
                      <w:marLeft w:val="0"/>
                      <w:marRight w:val="0"/>
                      <w:marTop w:val="0"/>
                      <w:marBottom w:val="0"/>
                      <w:divBdr>
                        <w:top w:val="none" w:sz="0" w:space="0" w:color="auto"/>
                        <w:left w:val="none" w:sz="0" w:space="0" w:color="auto"/>
                        <w:bottom w:val="none" w:sz="0" w:space="0" w:color="auto"/>
                        <w:right w:val="none" w:sz="0" w:space="0" w:color="auto"/>
                      </w:divBdr>
                    </w:div>
                  </w:divsChild>
                </w:div>
                <w:div w:id="1341857160">
                  <w:marLeft w:val="0"/>
                  <w:marRight w:val="0"/>
                  <w:marTop w:val="0"/>
                  <w:marBottom w:val="0"/>
                  <w:divBdr>
                    <w:top w:val="none" w:sz="0" w:space="0" w:color="auto"/>
                    <w:left w:val="none" w:sz="0" w:space="0" w:color="auto"/>
                    <w:bottom w:val="none" w:sz="0" w:space="0" w:color="auto"/>
                    <w:right w:val="none" w:sz="0" w:space="0" w:color="auto"/>
                  </w:divBdr>
                  <w:divsChild>
                    <w:div w:id="341981030">
                      <w:marLeft w:val="0"/>
                      <w:marRight w:val="0"/>
                      <w:marTop w:val="0"/>
                      <w:marBottom w:val="0"/>
                      <w:divBdr>
                        <w:top w:val="none" w:sz="0" w:space="0" w:color="auto"/>
                        <w:left w:val="none" w:sz="0" w:space="0" w:color="auto"/>
                        <w:bottom w:val="none" w:sz="0" w:space="0" w:color="auto"/>
                        <w:right w:val="none" w:sz="0" w:space="0" w:color="auto"/>
                      </w:divBdr>
                    </w:div>
                  </w:divsChild>
                </w:div>
                <w:div w:id="1363288433">
                  <w:marLeft w:val="0"/>
                  <w:marRight w:val="0"/>
                  <w:marTop w:val="0"/>
                  <w:marBottom w:val="0"/>
                  <w:divBdr>
                    <w:top w:val="none" w:sz="0" w:space="0" w:color="auto"/>
                    <w:left w:val="none" w:sz="0" w:space="0" w:color="auto"/>
                    <w:bottom w:val="none" w:sz="0" w:space="0" w:color="auto"/>
                    <w:right w:val="none" w:sz="0" w:space="0" w:color="auto"/>
                  </w:divBdr>
                  <w:divsChild>
                    <w:div w:id="1408384900">
                      <w:marLeft w:val="0"/>
                      <w:marRight w:val="0"/>
                      <w:marTop w:val="0"/>
                      <w:marBottom w:val="0"/>
                      <w:divBdr>
                        <w:top w:val="none" w:sz="0" w:space="0" w:color="auto"/>
                        <w:left w:val="none" w:sz="0" w:space="0" w:color="auto"/>
                        <w:bottom w:val="none" w:sz="0" w:space="0" w:color="auto"/>
                        <w:right w:val="none" w:sz="0" w:space="0" w:color="auto"/>
                      </w:divBdr>
                    </w:div>
                  </w:divsChild>
                </w:div>
                <w:div w:id="1445997448">
                  <w:marLeft w:val="0"/>
                  <w:marRight w:val="0"/>
                  <w:marTop w:val="0"/>
                  <w:marBottom w:val="0"/>
                  <w:divBdr>
                    <w:top w:val="none" w:sz="0" w:space="0" w:color="auto"/>
                    <w:left w:val="none" w:sz="0" w:space="0" w:color="auto"/>
                    <w:bottom w:val="none" w:sz="0" w:space="0" w:color="auto"/>
                    <w:right w:val="none" w:sz="0" w:space="0" w:color="auto"/>
                  </w:divBdr>
                  <w:divsChild>
                    <w:div w:id="2082166962">
                      <w:marLeft w:val="0"/>
                      <w:marRight w:val="0"/>
                      <w:marTop w:val="0"/>
                      <w:marBottom w:val="0"/>
                      <w:divBdr>
                        <w:top w:val="none" w:sz="0" w:space="0" w:color="auto"/>
                        <w:left w:val="none" w:sz="0" w:space="0" w:color="auto"/>
                        <w:bottom w:val="none" w:sz="0" w:space="0" w:color="auto"/>
                        <w:right w:val="none" w:sz="0" w:space="0" w:color="auto"/>
                      </w:divBdr>
                    </w:div>
                  </w:divsChild>
                </w:div>
                <w:div w:id="1477261127">
                  <w:marLeft w:val="0"/>
                  <w:marRight w:val="0"/>
                  <w:marTop w:val="0"/>
                  <w:marBottom w:val="0"/>
                  <w:divBdr>
                    <w:top w:val="none" w:sz="0" w:space="0" w:color="auto"/>
                    <w:left w:val="none" w:sz="0" w:space="0" w:color="auto"/>
                    <w:bottom w:val="none" w:sz="0" w:space="0" w:color="auto"/>
                    <w:right w:val="none" w:sz="0" w:space="0" w:color="auto"/>
                  </w:divBdr>
                  <w:divsChild>
                    <w:div w:id="2094818320">
                      <w:marLeft w:val="0"/>
                      <w:marRight w:val="0"/>
                      <w:marTop w:val="0"/>
                      <w:marBottom w:val="0"/>
                      <w:divBdr>
                        <w:top w:val="none" w:sz="0" w:space="0" w:color="auto"/>
                        <w:left w:val="none" w:sz="0" w:space="0" w:color="auto"/>
                        <w:bottom w:val="none" w:sz="0" w:space="0" w:color="auto"/>
                        <w:right w:val="none" w:sz="0" w:space="0" w:color="auto"/>
                      </w:divBdr>
                    </w:div>
                  </w:divsChild>
                </w:div>
                <w:div w:id="1523011090">
                  <w:marLeft w:val="0"/>
                  <w:marRight w:val="0"/>
                  <w:marTop w:val="0"/>
                  <w:marBottom w:val="0"/>
                  <w:divBdr>
                    <w:top w:val="none" w:sz="0" w:space="0" w:color="auto"/>
                    <w:left w:val="none" w:sz="0" w:space="0" w:color="auto"/>
                    <w:bottom w:val="none" w:sz="0" w:space="0" w:color="auto"/>
                    <w:right w:val="none" w:sz="0" w:space="0" w:color="auto"/>
                  </w:divBdr>
                  <w:divsChild>
                    <w:div w:id="598638296">
                      <w:marLeft w:val="0"/>
                      <w:marRight w:val="0"/>
                      <w:marTop w:val="0"/>
                      <w:marBottom w:val="0"/>
                      <w:divBdr>
                        <w:top w:val="none" w:sz="0" w:space="0" w:color="auto"/>
                        <w:left w:val="none" w:sz="0" w:space="0" w:color="auto"/>
                        <w:bottom w:val="none" w:sz="0" w:space="0" w:color="auto"/>
                        <w:right w:val="none" w:sz="0" w:space="0" w:color="auto"/>
                      </w:divBdr>
                    </w:div>
                  </w:divsChild>
                </w:div>
                <w:div w:id="1544321859">
                  <w:marLeft w:val="0"/>
                  <w:marRight w:val="0"/>
                  <w:marTop w:val="0"/>
                  <w:marBottom w:val="0"/>
                  <w:divBdr>
                    <w:top w:val="none" w:sz="0" w:space="0" w:color="auto"/>
                    <w:left w:val="none" w:sz="0" w:space="0" w:color="auto"/>
                    <w:bottom w:val="none" w:sz="0" w:space="0" w:color="auto"/>
                    <w:right w:val="none" w:sz="0" w:space="0" w:color="auto"/>
                  </w:divBdr>
                  <w:divsChild>
                    <w:div w:id="692076547">
                      <w:marLeft w:val="0"/>
                      <w:marRight w:val="0"/>
                      <w:marTop w:val="0"/>
                      <w:marBottom w:val="0"/>
                      <w:divBdr>
                        <w:top w:val="none" w:sz="0" w:space="0" w:color="auto"/>
                        <w:left w:val="none" w:sz="0" w:space="0" w:color="auto"/>
                        <w:bottom w:val="none" w:sz="0" w:space="0" w:color="auto"/>
                        <w:right w:val="none" w:sz="0" w:space="0" w:color="auto"/>
                      </w:divBdr>
                    </w:div>
                  </w:divsChild>
                </w:div>
                <w:div w:id="1563712592">
                  <w:marLeft w:val="0"/>
                  <w:marRight w:val="0"/>
                  <w:marTop w:val="0"/>
                  <w:marBottom w:val="0"/>
                  <w:divBdr>
                    <w:top w:val="none" w:sz="0" w:space="0" w:color="auto"/>
                    <w:left w:val="none" w:sz="0" w:space="0" w:color="auto"/>
                    <w:bottom w:val="none" w:sz="0" w:space="0" w:color="auto"/>
                    <w:right w:val="none" w:sz="0" w:space="0" w:color="auto"/>
                  </w:divBdr>
                  <w:divsChild>
                    <w:div w:id="539632334">
                      <w:marLeft w:val="0"/>
                      <w:marRight w:val="0"/>
                      <w:marTop w:val="0"/>
                      <w:marBottom w:val="0"/>
                      <w:divBdr>
                        <w:top w:val="none" w:sz="0" w:space="0" w:color="auto"/>
                        <w:left w:val="none" w:sz="0" w:space="0" w:color="auto"/>
                        <w:bottom w:val="none" w:sz="0" w:space="0" w:color="auto"/>
                        <w:right w:val="none" w:sz="0" w:space="0" w:color="auto"/>
                      </w:divBdr>
                    </w:div>
                  </w:divsChild>
                </w:div>
                <w:div w:id="1676691134">
                  <w:marLeft w:val="0"/>
                  <w:marRight w:val="0"/>
                  <w:marTop w:val="0"/>
                  <w:marBottom w:val="0"/>
                  <w:divBdr>
                    <w:top w:val="none" w:sz="0" w:space="0" w:color="auto"/>
                    <w:left w:val="none" w:sz="0" w:space="0" w:color="auto"/>
                    <w:bottom w:val="none" w:sz="0" w:space="0" w:color="auto"/>
                    <w:right w:val="none" w:sz="0" w:space="0" w:color="auto"/>
                  </w:divBdr>
                  <w:divsChild>
                    <w:div w:id="1770813855">
                      <w:marLeft w:val="0"/>
                      <w:marRight w:val="0"/>
                      <w:marTop w:val="0"/>
                      <w:marBottom w:val="0"/>
                      <w:divBdr>
                        <w:top w:val="none" w:sz="0" w:space="0" w:color="auto"/>
                        <w:left w:val="none" w:sz="0" w:space="0" w:color="auto"/>
                        <w:bottom w:val="none" w:sz="0" w:space="0" w:color="auto"/>
                        <w:right w:val="none" w:sz="0" w:space="0" w:color="auto"/>
                      </w:divBdr>
                    </w:div>
                  </w:divsChild>
                </w:div>
                <w:div w:id="1677226983">
                  <w:marLeft w:val="0"/>
                  <w:marRight w:val="0"/>
                  <w:marTop w:val="0"/>
                  <w:marBottom w:val="0"/>
                  <w:divBdr>
                    <w:top w:val="none" w:sz="0" w:space="0" w:color="auto"/>
                    <w:left w:val="none" w:sz="0" w:space="0" w:color="auto"/>
                    <w:bottom w:val="none" w:sz="0" w:space="0" w:color="auto"/>
                    <w:right w:val="none" w:sz="0" w:space="0" w:color="auto"/>
                  </w:divBdr>
                  <w:divsChild>
                    <w:div w:id="368648941">
                      <w:marLeft w:val="0"/>
                      <w:marRight w:val="0"/>
                      <w:marTop w:val="0"/>
                      <w:marBottom w:val="0"/>
                      <w:divBdr>
                        <w:top w:val="none" w:sz="0" w:space="0" w:color="auto"/>
                        <w:left w:val="none" w:sz="0" w:space="0" w:color="auto"/>
                        <w:bottom w:val="none" w:sz="0" w:space="0" w:color="auto"/>
                        <w:right w:val="none" w:sz="0" w:space="0" w:color="auto"/>
                      </w:divBdr>
                    </w:div>
                  </w:divsChild>
                </w:div>
                <w:div w:id="1677922821">
                  <w:marLeft w:val="0"/>
                  <w:marRight w:val="0"/>
                  <w:marTop w:val="0"/>
                  <w:marBottom w:val="0"/>
                  <w:divBdr>
                    <w:top w:val="none" w:sz="0" w:space="0" w:color="auto"/>
                    <w:left w:val="none" w:sz="0" w:space="0" w:color="auto"/>
                    <w:bottom w:val="none" w:sz="0" w:space="0" w:color="auto"/>
                    <w:right w:val="none" w:sz="0" w:space="0" w:color="auto"/>
                  </w:divBdr>
                  <w:divsChild>
                    <w:div w:id="500390541">
                      <w:marLeft w:val="0"/>
                      <w:marRight w:val="0"/>
                      <w:marTop w:val="0"/>
                      <w:marBottom w:val="0"/>
                      <w:divBdr>
                        <w:top w:val="none" w:sz="0" w:space="0" w:color="auto"/>
                        <w:left w:val="none" w:sz="0" w:space="0" w:color="auto"/>
                        <w:bottom w:val="none" w:sz="0" w:space="0" w:color="auto"/>
                        <w:right w:val="none" w:sz="0" w:space="0" w:color="auto"/>
                      </w:divBdr>
                    </w:div>
                  </w:divsChild>
                </w:div>
                <w:div w:id="1700549984">
                  <w:marLeft w:val="0"/>
                  <w:marRight w:val="0"/>
                  <w:marTop w:val="0"/>
                  <w:marBottom w:val="0"/>
                  <w:divBdr>
                    <w:top w:val="none" w:sz="0" w:space="0" w:color="auto"/>
                    <w:left w:val="none" w:sz="0" w:space="0" w:color="auto"/>
                    <w:bottom w:val="none" w:sz="0" w:space="0" w:color="auto"/>
                    <w:right w:val="none" w:sz="0" w:space="0" w:color="auto"/>
                  </w:divBdr>
                  <w:divsChild>
                    <w:div w:id="1388919561">
                      <w:marLeft w:val="0"/>
                      <w:marRight w:val="0"/>
                      <w:marTop w:val="0"/>
                      <w:marBottom w:val="0"/>
                      <w:divBdr>
                        <w:top w:val="none" w:sz="0" w:space="0" w:color="auto"/>
                        <w:left w:val="none" w:sz="0" w:space="0" w:color="auto"/>
                        <w:bottom w:val="none" w:sz="0" w:space="0" w:color="auto"/>
                        <w:right w:val="none" w:sz="0" w:space="0" w:color="auto"/>
                      </w:divBdr>
                    </w:div>
                  </w:divsChild>
                </w:div>
                <w:div w:id="1772580939">
                  <w:marLeft w:val="0"/>
                  <w:marRight w:val="0"/>
                  <w:marTop w:val="0"/>
                  <w:marBottom w:val="0"/>
                  <w:divBdr>
                    <w:top w:val="none" w:sz="0" w:space="0" w:color="auto"/>
                    <w:left w:val="none" w:sz="0" w:space="0" w:color="auto"/>
                    <w:bottom w:val="none" w:sz="0" w:space="0" w:color="auto"/>
                    <w:right w:val="none" w:sz="0" w:space="0" w:color="auto"/>
                  </w:divBdr>
                  <w:divsChild>
                    <w:div w:id="297303645">
                      <w:marLeft w:val="0"/>
                      <w:marRight w:val="0"/>
                      <w:marTop w:val="0"/>
                      <w:marBottom w:val="0"/>
                      <w:divBdr>
                        <w:top w:val="none" w:sz="0" w:space="0" w:color="auto"/>
                        <w:left w:val="none" w:sz="0" w:space="0" w:color="auto"/>
                        <w:bottom w:val="none" w:sz="0" w:space="0" w:color="auto"/>
                        <w:right w:val="none" w:sz="0" w:space="0" w:color="auto"/>
                      </w:divBdr>
                    </w:div>
                  </w:divsChild>
                </w:div>
                <w:div w:id="1807315671">
                  <w:marLeft w:val="0"/>
                  <w:marRight w:val="0"/>
                  <w:marTop w:val="0"/>
                  <w:marBottom w:val="0"/>
                  <w:divBdr>
                    <w:top w:val="none" w:sz="0" w:space="0" w:color="auto"/>
                    <w:left w:val="none" w:sz="0" w:space="0" w:color="auto"/>
                    <w:bottom w:val="none" w:sz="0" w:space="0" w:color="auto"/>
                    <w:right w:val="none" w:sz="0" w:space="0" w:color="auto"/>
                  </w:divBdr>
                  <w:divsChild>
                    <w:div w:id="1500656419">
                      <w:marLeft w:val="0"/>
                      <w:marRight w:val="0"/>
                      <w:marTop w:val="0"/>
                      <w:marBottom w:val="0"/>
                      <w:divBdr>
                        <w:top w:val="none" w:sz="0" w:space="0" w:color="auto"/>
                        <w:left w:val="none" w:sz="0" w:space="0" w:color="auto"/>
                        <w:bottom w:val="none" w:sz="0" w:space="0" w:color="auto"/>
                        <w:right w:val="none" w:sz="0" w:space="0" w:color="auto"/>
                      </w:divBdr>
                    </w:div>
                  </w:divsChild>
                </w:div>
                <w:div w:id="1820732226">
                  <w:marLeft w:val="0"/>
                  <w:marRight w:val="0"/>
                  <w:marTop w:val="0"/>
                  <w:marBottom w:val="0"/>
                  <w:divBdr>
                    <w:top w:val="none" w:sz="0" w:space="0" w:color="auto"/>
                    <w:left w:val="none" w:sz="0" w:space="0" w:color="auto"/>
                    <w:bottom w:val="none" w:sz="0" w:space="0" w:color="auto"/>
                    <w:right w:val="none" w:sz="0" w:space="0" w:color="auto"/>
                  </w:divBdr>
                  <w:divsChild>
                    <w:div w:id="1249342935">
                      <w:marLeft w:val="0"/>
                      <w:marRight w:val="0"/>
                      <w:marTop w:val="0"/>
                      <w:marBottom w:val="0"/>
                      <w:divBdr>
                        <w:top w:val="none" w:sz="0" w:space="0" w:color="auto"/>
                        <w:left w:val="none" w:sz="0" w:space="0" w:color="auto"/>
                        <w:bottom w:val="none" w:sz="0" w:space="0" w:color="auto"/>
                        <w:right w:val="none" w:sz="0" w:space="0" w:color="auto"/>
                      </w:divBdr>
                    </w:div>
                  </w:divsChild>
                </w:div>
                <w:div w:id="1850365950">
                  <w:marLeft w:val="0"/>
                  <w:marRight w:val="0"/>
                  <w:marTop w:val="0"/>
                  <w:marBottom w:val="0"/>
                  <w:divBdr>
                    <w:top w:val="none" w:sz="0" w:space="0" w:color="auto"/>
                    <w:left w:val="none" w:sz="0" w:space="0" w:color="auto"/>
                    <w:bottom w:val="none" w:sz="0" w:space="0" w:color="auto"/>
                    <w:right w:val="none" w:sz="0" w:space="0" w:color="auto"/>
                  </w:divBdr>
                  <w:divsChild>
                    <w:div w:id="1531340503">
                      <w:marLeft w:val="0"/>
                      <w:marRight w:val="0"/>
                      <w:marTop w:val="0"/>
                      <w:marBottom w:val="0"/>
                      <w:divBdr>
                        <w:top w:val="none" w:sz="0" w:space="0" w:color="auto"/>
                        <w:left w:val="none" w:sz="0" w:space="0" w:color="auto"/>
                        <w:bottom w:val="none" w:sz="0" w:space="0" w:color="auto"/>
                        <w:right w:val="none" w:sz="0" w:space="0" w:color="auto"/>
                      </w:divBdr>
                    </w:div>
                  </w:divsChild>
                </w:div>
                <w:div w:id="1866215548">
                  <w:marLeft w:val="0"/>
                  <w:marRight w:val="0"/>
                  <w:marTop w:val="0"/>
                  <w:marBottom w:val="0"/>
                  <w:divBdr>
                    <w:top w:val="none" w:sz="0" w:space="0" w:color="auto"/>
                    <w:left w:val="none" w:sz="0" w:space="0" w:color="auto"/>
                    <w:bottom w:val="none" w:sz="0" w:space="0" w:color="auto"/>
                    <w:right w:val="none" w:sz="0" w:space="0" w:color="auto"/>
                  </w:divBdr>
                  <w:divsChild>
                    <w:div w:id="286858572">
                      <w:marLeft w:val="0"/>
                      <w:marRight w:val="0"/>
                      <w:marTop w:val="0"/>
                      <w:marBottom w:val="0"/>
                      <w:divBdr>
                        <w:top w:val="none" w:sz="0" w:space="0" w:color="auto"/>
                        <w:left w:val="none" w:sz="0" w:space="0" w:color="auto"/>
                        <w:bottom w:val="none" w:sz="0" w:space="0" w:color="auto"/>
                        <w:right w:val="none" w:sz="0" w:space="0" w:color="auto"/>
                      </w:divBdr>
                    </w:div>
                  </w:divsChild>
                </w:div>
                <w:div w:id="1892963664">
                  <w:marLeft w:val="0"/>
                  <w:marRight w:val="0"/>
                  <w:marTop w:val="0"/>
                  <w:marBottom w:val="0"/>
                  <w:divBdr>
                    <w:top w:val="none" w:sz="0" w:space="0" w:color="auto"/>
                    <w:left w:val="none" w:sz="0" w:space="0" w:color="auto"/>
                    <w:bottom w:val="none" w:sz="0" w:space="0" w:color="auto"/>
                    <w:right w:val="none" w:sz="0" w:space="0" w:color="auto"/>
                  </w:divBdr>
                  <w:divsChild>
                    <w:div w:id="654800764">
                      <w:marLeft w:val="0"/>
                      <w:marRight w:val="0"/>
                      <w:marTop w:val="0"/>
                      <w:marBottom w:val="0"/>
                      <w:divBdr>
                        <w:top w:val="none" w:sz="0" w:space="0" w:color="auto"/>
                        <w:left w:val="none" w:sz="0" w:space="0" w:color="auto"/>
                        <w:bottom w:val="none" w:sz="0" w:space="0" w:color="auto"/>
                        <w:right w:val="none" w:sz="0" w:space="0" w:color="auto"/>
                      </w:divBdr>
                    </w:div>
                  </w:divsChild>
                </w:div>
                <w:div w:id="1981497526">
                  <w:marLeft w:val="0"/>
                  <w:marRight w:val="0"/>
                  <w:marTop w:val="0"/>
                  <w:marBottom w:val="0"/>
                  <w:divBdr>
                    <w:top w:val="none" w:sz="0" w:space="0" w:color="auto"/>
                    <w:left w:val="none" w:sz="0" w:space="0" w:color="auto"/>
                    <w:bottom w:val="none" w:sz="0" w:space="0" w:color="auto"/>
                    <w:right w:val="none" w:sz="0" w:space="0" w:color="auto"/>
                  </w:divBdr>
                  <w:divsChild>
                    <w:div w:id="487867116">
                      <w:marLeft w:val="0"/>
                      <w:marRight w:val="0"/>
                      <w:marTop w:val="0"/>
                      <w:marBottom w:val="0"/>
                      <w:divBdr>
                        <w:top w:val="none" w:sz="0" w:space="0" w:color="auto"/>
                        <w:left w:val="none" w:sz="0" w:space="0" w:color="auto"/>
                        <w:bottom w:val="none" w:sz="0" w:space="0" w:color="auto"/>
                        <w:right w:val="none" w:sz="0" w:space="0" w:color="auto"/>
                      </w:divBdr>
                    </w:div>
                  </w:divsChild>
                </w:div>
                <w:div w:id="1996373210">
                  <w:marLeft w:val="0"/>
                  <w:marRight w:val="0"/>
                  <w:marTop w:val="0"/>
                  <w:marBottom w:val="0"/>
                  <w:divBdr>
                    <w:top w:val="none" w:sz="0" w:space="0" w:color="auto"/>
                    <w:left w:val="none" w:sz="0" w:space="0" w:color="auto"/>
                    <w:bottom w:val="none" w:sz="0" w:space="0" w:color="auto"/>
                    <w:right w:val="none" w:sz="0" w:space="0" w:color="auto"/>
                  </w:divBdr>
                  <w:divsChild>
                    <w:div w:id="296495193">
                      <w:marLeft w:val="0"/>
                      <w:marRight w:val="0"/>
                      <w:marTop w:val="0"/>
                      <w:marBottom w:val="0"/>
                      <w:divBdr>
                        <w:top w:val="none" w:sz="0" w:space="0" w:color="auto"/>
                        <w:left w:val="none" w:sz="0" w:space="0" w:color="auto"/>
                        <w:bottom w:val="none" w:sz="0" w:space="0" w:color="auto"/>
                        <w:right w:val="none" w:sz="0" w:space="0" w:color="auto"/>
                      </w:divBdr>
                    </w:div>
                  </w:divsChild>
                </w:div>
                <w:div w:id="2074353382">
                  <w:marLeft w:val="0"/>
                  <w:marRight w:val="0"/>
                  <w:marTop w:val="0"/>
                  <w:marBottom w:val="0"/>
                  <w:divBdr>
                    <w:top w:val="none" w:sz="0" w:space="0" w:color="auto"/>
                    <w:left w:val="none" w:sz="0" w:space="0" w:color="auto"/>
                    <w:bottom w:val="none" w:sz="0" w:space="0" w:color="auto"/>
                    <w:right w:val="none" w:sz="0" w:space="0" w:color="auto"/>
                  </w:divBdr>
                  <w:divsChild>
                    <w:div w:id="140464620">
                      <w:marLeft w:val="0"/>
                      <w:marRight w:val="0"/>
                      <w:marTop w:val="0"/>
                      <w:marBottom w:val="0"/>
                      <w:divBdr>
                        <w:top w:val="none" w:sz="0" w:space="0" w:color="auto"/>
                        <w:left w:val="none" w:sz="0" w:space="0" w:color="auto"/>
                        <w:bottom w:val="none" w:sz="0" w:space="0" w:color="auto"/>
                        <w:right w:val="none" w:sz="0" w:space="0" w:color="auto"/>
                      </w:divBdr>
                    </w:div>
                  </w:divsChild>
                </w:div>
                <w:div w:id="2083677452">
                  <w:marLeft w:val="0"/>
                  <w:marRight w:val="0"/>
                  <w:marTop w:val="0"/>
                  <w:marBottom w:val="0"/>
                  <w:divBdr>
                    <w:top w:val="none" w:sz="0" w:space="0" w:color="auto"/>
                    <w:left w:val="none" w:sz="0" w:space="0" w:color="auto"/>
                    <w:bottom w:val="none" w:sz="0" w:space="0" w:color="auto"/>
                    <w:right w:val="none" w:sz="0" w:space="0" w:color="auto"/>
                  </w:divBdr>
                  <w:divsChild>
                    <w:div w:id="172648875">
                      <w:marLeft w:val="0"/>
                      <w:marRight w:val="0"/>
                      <w:marTop w:val="0"/>
                      <w:marBottom w:val="0"/>
                      <w:divBdr>
                        <w:top w:val="none" w:sz="0" w:space="0" w:color="auto"/>
                        <w:left w:val="none" w:sz="0" w:space="0" w:color="auto"/>
                        <w:bottom w:val="none" w:sz="0" w:space="0" w:color="auto"/>
                        <w:right w:val="none" w:sz="0" w:space="0" w:color="auto"/>
                      </w:divBdr>
                    </w:div>
                  </w:divsChild>
                </w:div>
                <w:div w:id="2098282366">
                  <w:marLeft w:val="0"/>
                  <w:marRight w:val="0"/>
                  <w:marTop w:val="0"/>
                  <w:marBottom w:val="0"/>
                  <w:divBdr>
                    <w:top w:val="none" w:sz="0" w:space="0" w:color="auto"/>
                    <w:left w:val="none" w:sz="0" w:space="0" w:color="auto"/>
                    <w:bottom w:val="none" w:sz="0" w:space="0" w:color="auto"/>
                    <w:right w:val="none" w:sz="0" w:space="0" w:color="auto"/>
                  </w:divBdr>
                  <w:divsChild>
                    <w:div w:id="1505897862">
                      <w:marLeft w:val="0"/>
                      <w:marRight w:val="0"/>
                      <w:marTop w:val="0"/>
                      <w:marBottom w:val="0"/>
                      <w:divBdr>
                        <w:top w:val="none" w:sz="0" w:space="0" w:color="auto"/>
                        <w:left w:val="none" w:sz="0" w:space="0" w:color="auto"/>
                        <w:bottom w:val="none" w:sz="0" w:space="0" w:color="auto"/>
                        <w:right w:val="none" w:sz="0" w:space="0" w:color="auto"/>
                      </w:divBdr>
                    </w:div>
                  </w:divsChild>
                </w:div>
                <w:div w:id="2104373324">
                  <w:marLeft w:val="0"/>
                  <w:marRight w:val="0"/>
                  <w:marTop w:val="0"/>
                  <w:marBottom w:val="0"/>
                  <w:divBdr>
                    <w:top w:val="none" w:sz="0" w:space="0" w:color="auto"/>
                    <w:left w:val="none" w:sz="0" w:space="0" w:color="auto"/>
                    <w:bottom w:val="none" w:sz="0" w:space="0" w:color="auto"/>
                    <w:right w:val="none" w:sz="0" w:space="0" w:color="auto"/>
                  </w:divBdr>
                  <w:divsChild>
                    <w:div w:id="1351645536">
                      <w:marLeft w:val="0"/>
                      <w:marRight w:val="0"/>
                      <w:marTop w:val="0"/>
                      <w:marBottom w:val="0"/>
                      <w:divBdr>
                        <w:top w:val="none" w:sz="0" w:space="0" w:color="auto"/>
                        <w:left w:val="none" w:sz="0" w:space="0" w:color="auto"/>
                        <w:bottom w:val="none" w:sz="0" w:space="0" w:color="auto"/>
                        <w:right w:val="none" w:sz="0" w:space="0" w:color="auto"/>
                      </w:divBdr>
                    </w:div>
                  </w:divsChild>
                </w:div>
                <w:div w:id="2136870035">
                  <w:marLeft w:val="0"/>
                  <w:marRight w:val="0"/>
                  <w:marTop w:val="0"/>
                  <w:marBottom w:val="0"/>
                  <w:divBdr>
                    <w:top w:val="none" w:sz="0" w:space="0" w:color="auto"/>
                    <w:left w:val="none" w:sz="0" w:space="0" w:color="auto"/>
                    <w:bottom w:val="none" w:sz="0" w:space="0" w:color="auto"/>
                    <w:right w:val="none" w:sz="0" w:space="0" w:color="auto"/>
                  </w:divBdr>
                  <w:divsChild>
                    <w:div w:id="58415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597436">
      <w:bodyDiv w:val="1"/>
      <w:marLeft w:val="0"/>
      <w:marRight w:val="0"/>
      <w:marTop w:val="0"/>
      <w:marBottom w:val="0"/>
      <w:divBdr>
        <w:top w:val="none" w:sz="0" w:space="0" w:color="auto"/>
        <w:left w:val="none" w:sz="0" w:space="0" w:color="auto"/>
        <w:bottom w:val="none" w:sz="0" w:space="0" w:color="auto"/>
        <w:right w:val="none" w:sz="0" w:space="0" w:color="auto"/>
      </w:divBdr>
      <w:divsChild>
        <w:div w:id="25641072">
          <w:marLeft w:val="0"/>
          <w:marRight w:val="0"/>
          <w:marTop w:val="0"/>
          <w:marBottom w:val="0"/>
          <w:divBdr>
            <w:top w:val="none" w:sz="0" w:space="0" w:color="auto"/>
            <w:left w:val="none" w:sz="0" w:space="0" w:color="auto"/>
            <w:bottom w:val="none" w:sz="0" w:space="0" w:color="auto"/>
            <w:right w:val="none" w:sz="0" w:space="0" w:color="auto"/>
          </w:divBdr>
          <w:divsChild>
            <w:div w:id="2034115783">
              <w:marLeft w:val="0"/>
              <w:marRight w:val="0"/>
              <w:marTop w:val="0"/>
              <w:marBottom w:val="0"/>
              <w:divBdr>
                <w:top w:val="none" w:sz="0" w:space="0" w:color="auto"/>
                <w:left w:val="none" w:sz="0" w:space="0" w:color="auto"/>
                <w:bottom w:val="none" w:sz="0" w:space="0" w:color="auto"/>
                <w:right w:val="none" w:sz="0" w:space="0" w:color="auto"/>
              </w:divBdr>
            </w:div>
          </w:divsChild>
        </w:div>
        <w:div w:id="29887720">
          <w:marLeft w:val="0"/>
          <w:marRight w:val="0"/>
          <w:marTop w:val="0"/>
          <w:marBottom w:val="0"/>
          <w:divBdr>
            <w:top w:val="none" w:sz="0" w:space="0" w:color="auto"/>
            <w:left w:val="none" w:sz="0" w:space="0" w:color="auto"/>
            <w:bottom w:val="none" w:sz="0" w:space="0" w:color="auto"/>
            <w:right w:val="none" w:sz="0" w:space="0" w:color="auto"/>
          </w:divBdr>
          <w:divsChild>
            <w:div w:id="1736930903">
              <w:marLeft w:val="0"/>
              <w:marRight w:val="0"/>
              <w:marTop w:val="0"/>
              <w:marBottom w:val="0"/>
              <w:divBdr>
                <w:top w:val="none" w:sz="0" w:space="0" w:color="auto"/>
                <w:left w:val="none" w:sz="0" w:space="0" w:color="auto"/>
                <w:bottom w:val="none" w:sz="0" w:space="0" w:color="auto"/>
                <w:right w:val="none" w:sz="0" w:space="0" w:color="auto"/>
              </w:divBdr>
            </w:div>
          </w:divsChild>
        </w:div>
        <w:div w:id="31923571">
          <w:marLeft w:val="0"/>
          <w:marRight w:val="0"/>
          <w:marTop w:val="0"/>
          <w:marBottom w:val="0"/>
          <w:divBdr>
            <w:top w:val="none" w:sz="0" w:space="0" w:color="auto"/>
            <w:left w:val="none" w:sz="0" w:space="0" w:color="auto"/>
            <w:bottom w:val="none" w:sz="0" w:space="0" w:color="auto"/>
            <w:right w:val="none" w:sz="0" w:space="0" w:color="auto"/>
          </w:divBdr>
          <w:divsChild>
            <w:div w:id="1769499042">
              <w:marLeft w:val="0"/>
              <w:marRight w:val="0"/>
              <w:marTop w:val="0"/>
              <w:marBottom w:val="0"/>
              <w:divBdr>
                <w:top w:val="none" w:sz="0" w:space="0" w:color="auto"/>
                <w:left w:val="none" w:sz="0" w:space="0" w:color="auto"/>
                <w:bottom w:val="none" w:sz="0" w:space="0" w:color="auto"/>
                <w:right w:val="none" w:sz="0" w:space="0" w:color="auto"/>
              </w:divBdr>
            </w:div>
          </w:divsChild>
        </w:div>
        <w:div w:id="44180826">
          <w:marLeft w:val="0"/>
          <w:marRight w:val="0"/>
          <w:marTop w:val="0"/>
          <w:marBottom w:val="0"/>
          <w:divBdr>
            <w:top w:val="none" w:sz="0" w:space="0" w:color="auto"/>
            <w:left w:val="none" w:sz="0" w:space="0" w:color="auto"/>
            <w:bottom w:val="none" w:sz="0" w:space="0" w:color="auto"/>
            <w:right w:val="none" w:sz="0" w:space="0" w:color="auto"/>
          </w:divBdr>
          <w:divsChild>
            <w:div w:id="1100643657">
              <w:marLeft w:val="0"/>
              <w:marRight w:val="0"/>
              <w:marTop w:val="0"/>
              <w:marBottom w:val="0"/>
              <w:divBdr>
                <w:top w:val="none" w:sz="0" w:space="0" w:color="auto"/>
                <w:left w:val="none" w:sz="0" w:space="0" w:color="auto"/>
                <w:bottom w:val="none" w:sz="0" w:space="0" w:color="auto"/>
                <w:right w:val="none" w:sz="0" w:space="0" w:color="auto"/>
              </w:divBdr>
            </w:div>
          </w:divsChild>
        </w:div>
        <w:div w:id="48498630">
          <w:marLeft w:val="0"/>
          <w:marRight w:val="0"/>
          <w:marTop w:val="0"/>
          <w:marBottom w:val="0"/>
          <w:divBdr>
            <w:top w:val="none" w:sz="0" w:space="0" w:color="auto"/>
            <w:left w:val="none" w:sz="0" w:space="0" w:color="auto"/>
            <w:bottom w:val="none" w:sz="0" w:space="0" w:color="auto"/>
            <w:right w:val="none" w:sz="0" w:space="0" w:color="auto"/>
          </w:divBdr>
          <w:divsChild>
            <w:div w:id="924996737">
              <w:marLeft w:val="0"/>
              <w:marRight w:val="0"/>
              <w:marTop w:val="0"/>
              <w:marBottom w:val="0"/>
              <w:divBdr>
                <w:top w:val="none" w:sz="0" w:space="0" w:color="auto"/>
                <w:left w:val="none" w:sz="0" w:space="0" w:color="auto"/>
                <w:bottom w:val="none" w:sz="0" w:space="0" w:color="auto"/>
                <w:right w:val="none" w:sz="0" w:space="0" w:color="auto"/>
              </w:divBdr>
            </w:div>
          </w:divsChild>
        </w:div>
        <w:div w:id="60955636">
          <w:marLeft w:val="0"/>
          <w:marRight w:val="0"/>
          <w:marTop w:val="0"/>
          <w:marBottom w:val="0"/>
          <w:divBdr>
            <w:top w:val="none" w:sz="0" w:space="0" w:color="auto"/>
            <w:left w:val="none" w:sz="0" w:space="0" w:color="auto"/>
            <w:bottom w:val="none" w:sz="0" w:space="0" w:color="auto"/>
            <w:right w:val="none" w:sz="0" w:space="0" w:color="auto"/>
          </w:divBdr>
          <w:divsChild>
            <w:div w:id="1009865403">
              <w:marLeft w:val="0"/>
              <w:marRight w:val="0"/>
              <w:marTop w:val="0"/>
              <w:marBottom w:val="0"/>
              <w:divBdr>
                <w:top w:val="none" w:sz="0" w:space="0" w:color="auto"/>
                <w:left w:val="none" w:sz="0" w:space="0" w:color="auto"/>
                <w:bottom w:val="none" w:sz="0" w:space="0" w:color="auto"/>
                <w:right w:val="none" w:sz="0" w:space="0" w:color="auto"/>
              </w:divBdr>
            </w:div>
          </w:divsChild>
        </w:div>
        <w:div w:id="66341284">
          <w:marLeft w:val="0"/>
          <w:marRight w:val="0"/>
          <w:marTop w:val="0"/>
          <w:marBottom w:val="0"/>
          <w:divBdr>
            <w:top w:val="none" w:sz="0" w:space="0" w:color="auto"/>
            <w:left w:val="none" w:sz="0" w:space="0" w:color="auto"/>
            <w:bottom w:val="none" w:sz="0" w:space="0" w:color="auto"/>
            <w:right w:val="none" w:sz="0" w:space="0" w:color="auto"/>
          </w:divBdr>
          <w:divsChild>
            <w:div w:id="1017658155">
              <w:marLeft w:val="0"/>
              <w:marRight w:val="0"/>
              <w:marTop w:val="0"/>
              <w:marBottom w:val="0"/>
              <w:divBdr>
                <w:top w:val="none" w:sz="0" w:space="0" w:color="auto"/>
                <w:left w:val="none" w:sz="0" w:space="0" w:color="auto"/>
                <w:bottom w:val="none" w:sz="0" w:space="0" w:color="auto"/>
                <w:right w:val="none" w:sz="0" w:space="0" w:color="auto"/>
              </w:divBdr>
            </w:div>
          </w:divsChild>
        </w:div>
        <w:div w:id="78136938">
          <w:marLeft w:val="0"/>
          <w:marRight w:val="0"/>
          <w:marTop w:val="0"/>
          <w:marBottom w:val="0"/>
          <w:divBdr>
            <w:top w:val="none" w:sz="0" w:space="0" w:color="auto"/>
            <w:left w:val="none" w:sz="0" w:space="0" w:color="auto"/>
            <w:bottom w:val="none" w:sz="0" w:space="0" w:color="auto"/>
            <w:right w:val="none" w:sz="0" w:space="0" w:color="auto"/>
          </w:divBdr>
          <w:divsChild>
            <w:div w:id="1507549815">
              <w:marLeft w:val="0"/>
              <w:marRight w:val="0"/>
              <w:marTop w:val="0"/>
              <w:marBottom w:val="0"/>
              <w:divBdr>
                <w:top w:val="none" w:sz="0" w:space="0" w:color="auto"/>
                <w:left w:val="none" w:sz="0" w:space="0" w:color="auto"/>
                <w:bottom w:val="none" w:sz="0" w:space="0" w:color="auto"/>
                <w:right w:val="none" w:sz="0" w:space="0" w:color="auto"/>
              </w:divBdr>
            </w:div>
          </w:divsChild>
        </w:div>
        <w:div w:id="85200795">
          <w:marLeft w:val="0"/>
          <w:marRight w:val="0"/>
          <w:marTop w:val="0"/>
          <w:marBottom w:val="0"/>
          <w:divBdr>
            <w:top w:val="none" w:sz="0" w:space="0" w:color="auto"/>
            <w:left w:val="none" w:sz="0" w:space="0" w:color="auto"/>
            <w:bottom w:val="none" w:sz="0" w:space="0" w:color="auto"/>
            <w:right w:val="none" w:sz="0" w:space="0" w:color="auto"/>
          </w:divBdr>
          <w:divsChild>
            <w:div w:id="237716214">
              <w:marLeft w:val="0"/>
              <w:marRight w:val="0"/>
              <w:marTop w:val="0"/>
              <w:marBottom w:val="0"/>
              <w:divBdr>
                <w:top w:val="none" w:sz="0" w:space="0" w:color="auto"/>
                <w:left w:val="none" w:sz="0" w:space="0" w:color="auto"/>
                <w:bottom w:val="none" w:sz="0" w:space="0" w:color="auto"/>
                <w:right w:val="none" w:sz="0" w:space="0" w:color="auto"/>
              </w:divBdr>
            </w:div>
          </w:divsChild>
        </w:div>
        <w:div w:id="99424066">
          <w:marLeft w:val="0"/>
          <w:marRight w:val="0"/>
          <w:marTop w:val="0"/>
          <w:marBottom w:val="0"/>
          <w:divBdr>
            <w:top w:val="none" w:sz="0" w:space="0" w:color="auto"/>
            <w:left w:val="none" w:sz="0" w:space="0" w:color="auto"/>
            <w:bottom w:val="none" w:sz="0" w:space="0" w:color="auto"/>
            <w:right w:val="none" w:sz="0" w:space="0" w:color="auto"/>
          </w:divBdr>
          <w:divsChild>
            <w:div w:id="281497032">
              <w:marLeft w:val="0"/>
              <w:marRight w:val="0"/>
              <w:marTop w:val="0"/>
              <w:marBottom w:val="0"/>
              <w:divBdr>
                <w:top w:val="none" w:sz="0" w:space="0" w:color="auto"/>
                <w:left w:val="none" w:sz="0" w:space="0" w:color="auto"/>
                <w:bottom w:val="none" w:sz="0" w:space="0" w:color="auto"/>
                <w:right w:val="none" w:sz="0" w:space="0" w:color="auto"/>
              </w:divBdr>
            </w:div>
          </w:divsChild>
        </w:div>
        <w:div w:id="118576251">
          <w:marLeft w:val="0"/>
          <w:marRight w:val="0"/>
          <w:marTop w:val="0"/>
          <w:marBottom w:val="0"/>
          <w:divBdr>
            <w:top w:val="none" w:sz="0" w:space="0" w:color="auto"/>
            <w:left w:val="none" w:sz="0" w:space="0" w:color="auto"/>
            <w:bottom w:val="none" w:sz="0" w:space="0" w:color="auto"/>
            <w:right w:val="none" w:sz="0" w:space="0" w:color="auto"/>
          </w:divBdr>
          <w:divsChild>
            <w:div w:id="2140805809">
              <w:marLeft w:val="0"/>
              <w:marRight w:val="0"/>
              <w:marTop w:val="0"/>
              <w:marBottom w:val="0"/>
              <w:divBdr>
                <w:top w:val="none" w:sz="0" w:space="0" w:color="auto"/>
                <w:left w:val="none" w:sz="0" w:space="0" w:color="auto"/>
                <w:bottom w:val="none" w:sz="0" w:space="0" w:color="auto"/>
                <w:right w:val="none" w:sz="0" w:space="0" w:color="auto"/>
              </w:divBdr>
            </w:div>
          </w:divsChild>
        </w:div>
        <w:div w:id="128016210">
          <w:marLeft w:val="0"/>
          <w:marRight w:val="0"/>
          <w:marTop w:val="0"/>
          <w:marBottom w:val="0"/>
          <w:divBdr>
            <w:top w:val="none" w:sz="0" w:space="0" w:color="auto"/>
            <w:left w:val="none" w:sz="0" w:space="0" w:color="auto"/>
            <w:bottom w:val="none" w:sz="0" w:space="0" w:color="auto"/>
            <w:right w:val="none" w:sz="0" w:space="0" w:color="auto"/>
          </w:divBdr>
          <w:divsChild>
            <w:div w:id="192615849">
              <w:marLeft w:val="0"/>
              <w:marRight w:val="0"/>
              <w:marTop w:val="0"/>
              <w:marBottom w:val="0"/>
              <w:divBdr>
                <w:top w:val="none" w:sz="0" w:space="0" w:color="auto"/>
                <w:left w:val="none" w:sz="0" w:space="0" w:color="auto"/>
                <w:bottom w:val="none" w:sz="0" w:space="0" w:color="auto"/>
                <w:right w:val="none" w:sz="0" w:space="0" w:color="auto"/>
              </w:divBdr>
            </w:div>
          </w:divsChild>
        </w:div>
        <w:div w:id="146870064">
          <w:marLeft w:val="0"/>
          <w:marRight w:val="0"/>
          <w:marTop w:val="0"/>
          <w:marBottom w:val="0"/>
          <w:divBdr>
            <w:top w:val="none" w:sz="0" w:space="0" w:color="auto"/>
            <w:left w:val="none" w:sz="0" w:space="0" w:color="auto"/>
            <w:bottom w:val="none" w:sz="0" w:space="0" w:color="auto"/>
            <w:right w:val="none" w:sz="0" w:space="0" w:color="auto"/>
          </w:divBdr>
          <w:divsChild>
            <w:div w:id="93525053">
              <w:marLeft w:val="0"/>
              <w:marRight w:val="0"/>
              <w:marTop w:val="0"/>
              <w:marBottom w:val="0"/>
              <w:divBdr>
                <w:top w:val="none" w:sz="0" w:space="0" w:color="auto"/>
                <w:left w:val="none" w:sz="0" w:space="0" w:color="auto"/>
                <w:bottom w:val="none" w:sz="0" w:space="0" w:color="auto"/>
                <w:right w:val="none" w:sz="0" w:space="0" w:color="auto"/>
              </w:divBdr>
            </w:div>
          </w:divsChild>
        </w:div>
        <w:div w:id="148794729">
          <w:marLeft w:val="0"/>
          <w:marRight w:val="0"/>
          <w:marTop w:val="0"/>
          <w:marBottom w:val="0"/>
          <w:divBdr>
            <w:top w:val="none" w:sz="0" w:space="0" w:color="auto"/>
            <w:left w:val="none" w:sz="0" w:space="0" w:color="auto"/>
            <w:bottom w:val="none" w:sz="0" w:space="0" w:color="auto"/>
            <w:right w:val="none" w:sz="0" w:space="0" w:color="auto"/>
          </w:divBdr>
          <w:divsChild>
            <w:div w:id="1537154968">
              <w:marLeft w:val="0"/>
              <w:marRight w:val="0"/>
              <w:marTop w:val="0"/>
              <w:marBottom w:val="0"/>
              <w:divBdr>
                <w:top w:val="none" w:sz="0" w:space="0" w:color="auto"/>
                <w:left w:val="none" w:sz="0" w:space="0" w:color="auto"/>
                <w:bottom w:val="none" w:sz="0" w:space="0" w:color="auto"/>
                <w:right w:val="none" w:sz="0" w:space="0" w:color="auto"/>
              </w:divBdr>
            </w:div>
          </w:divsChild>
        </w:div>
        <w:div w:id="154566381">
          <w:marLeft w:val="0"/>
          <w:marRight w:val="0"/>
          <w:marTop w:val="0"/>
          <w:marBottom w:val="0"/>
          <w:divBdr>
            <w:top w:val="none" w:sz="0" w:space="0" w:color="auto"/>
            <w:left w:val="none" w:sz="0" w:space="0" w:color="auto"/>
            <w:bottom w:val="none" w:sz="0" w:space="0" w:color="auto"/>
            <w:right w:val="none" w:sz="0" w:space="0" w:color="auto"/>
          </w:divBdr>
          <w:divsChild>
            <w:div w:id="2041855858">
              <w:marLeft w:val="0"/>
              <w:marRight w:val="0"/>
              <w:marTop w:val="0"/>
              <w:marBottom w:val="0"/>
              <w:divBdr>
                <w:top w:val="none" w:sz="0" w:space="0" w:color="auto"/>
                <w:left w:val="none" w:sz="0" w:space="0" w:color="auto"/>
                <w:bottom w:val="none" w:sz="0" w:space="0" w:color="auto"/>
                <w:right w:val="none" w:sz="0" w:space="0" w:color="auto"/>
              </w:divBdr>
            </w:div>
          </w:divsChild>
        </w:div>
        <w:div w:id="165020831">
          <w:marLeft w:val="0"/>
          <w:marRight w:val="0"/>
          <w:marTop w:val="0"/>
          <w:marBottom w:val="0"/>
          <w:divBdr>
            <w:top w:val="none" w:sz="0" w:space="0" w:color="auto"/>
            <w:left w:val="none" w:sz="0" w:space="0" w:color="auto"/>
            <w:bottom w:val="none" w:sz="0" w:space="0" w:color="auto"/>
            <w:right w:val="none" w:sz="0" w:space="0" w:color="auto"/>
          </w:divBdr>
          <w:divsChild>
            <w:div w:id="869025220">
              <w:marLeft w:val="0"/>
              <w:marRight w:val="0"/>
              <w:marTop w:val="0"/>
              <w:marBottom w:val="0"/>
              <w:divBdr>
                <w:top w:val="none" w:sz="0" w:space="0" w:color="auto"/>
                <w:left w:val="none" w:sz="0" w:space="0" w:color="auto"/>
                <w:bottom w:val="none" w:sz="0" w:space="0" w:color="auto"/>
                <w:right w:val="none" w:sz="0" w:space="0" w:color="auto"/>
              </w:divBdr>
            </w:div>
          </w:divsChild>
        </w:div>
        <w:div w:id="173039453">
          <w:marLeft w:val="0"/>
          <w:marRight w:val="0"/>
          <w:marTop w:val="0"/>
          <w:marBottom w:val="0"/>
          <w:divBdr>
            <w:top w:val="none" w:sz="0" w:space="0" w:color="auto"/>
            <w:left w:val="none" w:sz="0" w:space="0" w:color="auto"/>
            <w:bottom w:val="none" w:sz="0" w:space="0" w:color="auto"/>
            <w:right w:val="none" w:sz="0" w:space="0" w:color="auto"/>
          </w:divBdr>
          <w:divsChild>
            <w:div w:id="1826778920">
              <w:marLeft w:val="0"/>
              <w:marRight w:val="0"/>
              <w:marTop w:val="0"/>
              <w:marBottom w:val="0"/>
              <w:divBdr>
                <w:top w:val="none" w:sz="0" w:space="0" w:color="auto"/>
                <w:left w:val="none" w:sz="0" w:space="0" w:color="auto"/>
                <w:bottom w:val="none" w:sz="0" w:space="0" w:color="auto"/>
                <w:right w:val="none" w:sz="0" w:space="0" w:color="auto"/>
              </w:divBdr>
            </w:div>
          </w:divsChild>
        </w:div>
        <w:div w:id="174808116">
          <w:marLeft w:val="0"/>
          <w:marRight w:val="0"/>
          <w:marTop w:val="0"/>
          <w:marBottom w:val="0"/>
          <w:divBdr>
            <w:top w:val="none" w:sz="0" w:space="0" w:color="auto"/>
            <w:left w:val="none" w:sz="0" w:space="0" w:color="auto"/>
            <w:bottom w:val="none" w:sz="0" w:space="0" w:color="auto"/>
            <w:right w:val="none" w:sz="0" w:space="0" w:color="auto"/>
          </w:divBdr>
          <w:divsChild>
            <w:div w:id="802311580">
              <w:marLeft w:val="0"/>
              <w:marRight w:val="0"/>
              <w:marTop w:val="0"/>
              <w:marBottom w:val="0"/>
              <w:divBdr>
                <w:top w:val="none" w:sz="0" w:space="0" w:color="auto"/>
                <w:left w:val="none" w:sz="0" w:space="0" w:color="auto"/>
                <w:bottom w:val="none" w:sz="0" w:space="0" w:color="auto"/>
                <w:right w:val="none" w:sz="0" w:space="0" w:color="auto"/>
              </w:divBdr>
            </w:div>
          </w:divsChild>
        </w:div>
        <w:div w:id="180825594">
          <w:marLeft w:val="0"/>
          <w:marRight w:val="0"/>
          <w:marTop w:val="0"/>
          <w:marBottom w:val="0"/>
          <w:divBdr>
            <w:top w:val="none" w:sz="0" w:space="0" w:color="auto"/>
            <w:left w:val="none" w:sz="0" w:space="0" w:color="auto"/>
            <w:bottom w:val="none" w:sz="0" w:space="0" w:color="auto"/>
            <w:right w:val="none" w:sz="0" w:space="0" w:color="auto"/>
          </w:divBdr>
          <w:divsChild>
            <w:div w:id="496115798">
              <w:marLeft w:val="0"/>
              <w:marRight w:val="0"/>
              <w:marTop w:val="0"/>
              <w:marBottom w:val="0"/>
              <w:divBdr>
                <w:top w:val="none" w:sz="0" w:space="0" w:color="auto"/>
                <w:left w:val="none" w:sz="0" w:space="0" w:color="auto"/>
                <w:bottom w:val="none" w:sz="0" w:space="0" w:color="auto"/>
                <w:right w:val="none" w:sz="0" w:space="0" w:color="auto"/>
              </w:divBdr>
            </w:div>
          </w:divsChild>
        </w:div>
        <w:div w:id="181671474">
          <w:marLeft w:val="0"/>
          <w:marRight w:val="0"/>
          <w:marTop w:val="0"/>
          <w:marBottom w:val="0"/>
          <w:divBdr>
            <w:top w:val="none" w:sz="0" w:space="0" w:color="auto"/>
            <w:left w:val="none" w:sz="0" w:space="0" w:color="auto"/>
            <w:bottom w:val="none" w:sz="0" w:space="0" w:color="auto"/>
            <w:right w:val="none" w:sz="0" w:space="0" w:color="auto"/>
          </w:divBdr>
          <w:divsChild>
            <w:div w:id="690112554">
              <w:marLeft w:val="0"/>
              <w:marRight w:val="0"/>
              <w:marTop w:val="0"/>
              <w:marBottom w:val="0"/>
              <w:divBdr>
                <w:top w:val="none" w:sz="0" w:space="0" w:color="auto"/>
                <w:left w:val="none" w:sz="0" w:space="0" w:color="auto"/>
                <w:bottom w:val="none" w:sz="0" w:space="0" w:color="auto"/>
                <w:right w:val="none" w:sz="0" w:space="0" w:color="auto"/>
              </w:divBdr>
            </w:div>
          </w:divsChild>
        </w:div>
        <w:div w:id="182280998">
          <w:marLeft w:val="0"/>
          <w:marRight w:val="0"/>
          <w:marTop w:val="0"/>
          <w:marBottom w:val="0"/>
          <w:divBdr>
            <w:top w:val="none" w:sz="0" w:space="0" w:color="auto"/>
            <w:left w:val="none" w:sz="0" w:space="0" w:color="auto"/>
            <w:bottom w:val="none" w:sz="0" w:space="0" w:color="auto"/>
            <w:right w:val="none" w:sz="0" w:space="0" w:color="auto"/>
          </w:divBdr>
          <w:divsChild>
            <w:div w:id="974290633">
              <w:marLeft w:val="0"/>
              <w:marRight w:val="0"/>
              <w:marTop w:val="0"/>
              <w:marBottom w:val="0"/>
              <w:divBdr>
                <w:top w:val="none" w:sz="0" w:space="0" w:color="auto"/>
                <w:left w:val="none" w:sz="0" w:space="0" w:color="auto"/>
                <w:bottom w:val="none" w:sz="0" w:space="0" w:color="auto"/>
                <w:right w:val="none" w:sz="0" w:space="0" w:color="auto"/>
              </w:divBdr>
            </w:div>
          </w:divsChild>
        </w:div>
        <w:div w:id="183633721">
          <w:marLeft w:val="0"/>
          <w:marRight w:val="0"/>
          <w:marTop w:val="0"/>
          <w:marBottom w:val="0"/>
          <w:divBdr>
            <w:top w:val="none" w:sz="0" w:space="0" w:color="auto"/>
            <w:left w:val="none" w:sz="0" w:space="0" w:color="auto"/>
            <w:bottom w:val="none" w:sz="0" w:space="0" w:color="auto"/>
            <w:right w:val="none" w:sz="0" w:space="0" w:color="auto"/>
          </w:divBdr>
          <w:divsChild>
            <w:div w:id="2039892067">
              <w:marLeft w:val="0"/>
              <w:marRight w:val="0"/>
              <w:marTop w:val="0"/>
              <w:marBottom w:val="0"/>
              <w:divBdr>
                <w:top w:val="none" w:sz="0" w:space="0" w:color="auto"/>
                <w:left w:val="none" w:sz="0" w:space="0" w:color="auto"/>
                <w:bottom w:val="none" w:sz="0" w:space="0" w:color="auto"/>
                <w:right w:val="none" w:sz="0" w:space="0" w:color="auto"/>
              </w:divBdr>
            </w:div>
          </w:divsChild>
        </w:div>
        <w:div w:id="221720316">
          <w:marLeft w:val="0"/>
          <w:marRight w:val="0"/>
          <w:marTop w:val="0"/>
          <w:marBottom w:val="0"/>
          <w:divBdr>
            <w:top w:val="none" w:sz="0" w:space="0" w:color="auto"/>
            <w:left w:val="none" w:sz="0" w:space="0" w:color="auto"/>
            <w:bottom w:val="none" w:sz="0" w:space="0" w:color="auto"/>
            <w:right w:val="none" w:sz="0" w:space="0" w:color="auto"/>
          </w:divBdr>
          <w:divsChild>
            <w:div w:id="2088527873">
              <w:marLeft w:val="0"/>
              <w:marRight w:val="0"/>
              <w:marTop w:val="0"/>
              <w:marBottom w:val="0"/>
              <w:divBdr>
                <w:top w:val="none" w:sz="0" w:space="0" w:color="auto"/>
                <w:left w:val="none" w:sz="0" w:space="0" w:color="auto"/>
                <w:bottom w:val="none" w:sz="0" w:space="0" w:color="auto"/>
                <w:right w:val="none" w:sz="0" w:space="0" w:color="auto"/>
              </w:divBdr>
            </w:div>
          </w:divsChild>
        </w:div>
        <w:div w:id="225575623">
          <w:marLeft w:val="0"/>
          <w:marRight w:val="0"/>
          <w:marTop w:val="0"/>
          <w:marBottom w:val="0"/>
          <w:divBdr>
            <w:top w:val="none" w:sz="0" w:space="0" w:color="auto"/>
            <w:left w:val="none" w:sz="0" w:space="0" w:color="auto"/>
            <w:bottom w:val="none" w:sz="0" w:space="0" w:color="auto"/>
            <w:right w:val="none" w:sz="0" w:space="0" w:color="auto"/>
          </w:divBdr>
          <w:divsChild>
            <w:div w:id="491221791">
              <w:marLeft w:val="0"/>
              <w:marRight w:val="0"/>
              <w:marTop w:val="0"/>
              <w:marBottom w:val="0"/>
              <w:divBdr>
                <w:top w:val="none" w:sz="0" w:space="0" w:color="auto"/>
                <w:left w:val="none" w:sz="0" w:space="0" w:color="auto"/>
                <w:bottom w:val="none" w:sz="0" w:space="0" w:color="auto"/>
                <w:right w:val="none" w:sz="0" w:space="0" w:color="auto"/>
              </w:divBdr>
            </w:div>
          </w:divsChild>
        </w:div>
        <w:div w:id="255481825">
          <w:marLeft w:val="0"/>
          <w:marRight w:val="0"/>
          <w:marTop w:val="0"/>
          <w:marBottom w:val="0"/>
          <w:divBdr>
            <w:top w:val="none" w:sz="0" w:space="0" w:color="auto"/>
            <w:left w:val="none" w:sz="0" w:space="0" w:color="auto"/>
            <w:bottom w:val="none" w:sz="0" w:space="0" w:color="auto"/>
            <w:right w:val="none" w:sz="0" w:space="0" w:color="auto"/>
          </w:divBdr>
          <w:divsChild>
            <w:div w:id="1251351651">
              <w:marLeft w:val="0"/>
              <w:marRight w:val="0"/>
              <w:marTop w:val="0"/>
              <w:marBottom w:val="0"/>
              <w:divBdr>
                <w:top w:val="none" w:sz="0" w:space="0" w:color="auto"/>
                <w:left w:val="none" w:sz="0" w:space="0" w:color="auto"/>
                <w:bottom w:val="none" w:sz="0" w:space="0" w:color="auto"/>
                <w:right w:val="none" w:sz="0" w:space="0" w:color="auto"/>
              </w:divBdr>
            </w:div>
          </w:divsChild>
        </w:div>
        <w:div w:id="313292897">
          <w:marLeft w:val="0"/>
          <w:marRight w:val="0"/>
          <w:marTop w:val="0"/>
          <w:marBottom w:val="0"/>
          <w:divBdr>
            <w:top w:val="none" w:sz="0" w:space="0" w:color="auto"/>
            <w:left w:val="none" w:sz="0" w:space="0" w:color="auto"/>
            <w:bottom w:val="none" w:sz="0" w:space="0" w:color="auto"/>
            <w:right w:val="none" w:sz="0" w:space="0" w:color="auto"/>
          </w:divBdr>
          <w:divsChild>
            <w:div w:id="1534223244">
              <w:marLeft w:val="0"/>
              <w:marRight w:val="0"/>
              <w:marTop w:val="0"/>
              <w:marBottom w:val="0"/>
              <w:divBdr>
                <w:top w:val="none" w:sz="0" w:space="0" w:color="auto"/>
                <w:left w:val="none" w:sz="0" w:space="0" w:color="auto"/>
                <w:bottom w:val="none" w:sz="0" w:space="0" w:color="auto"/>
                <w:right w:val="none" w:sz="0" w:space="0" w:color="auto"/>
              </w:divBdr>
            </w:div>
          </w:divsChild>
        </w:div>
        <w:div w:id="316157269">
          <w:marLeft w:val="0"/>
          <w:marRight w:val="0"/>
          <w:marTop w:val="0"/>
          <w:marBottom w:val="0"/>
          <w:divBdr>
            <w:top w:val="none" w:sz="0" w:space="0" w:color="auto"/>
            <w:left w:val="none" w:sz="0" w:space="0" w:color="auto"/>
            <w:bottom w:val="none" w:sz="0" w:space="0" w:color="auto"/>
            <w:right w:val="none" w:sz="0" w:space="0" w:color="auto"/>
          </w:divBdr>
          <w:divsChild>
            <w:div w:id="1641112994">
              <w:marLeft w:val="0"/>
              <w:marRight w:val="0"/>
              <w:marTop w:val="0"/>
              <w:marBottom w:val="0"/>
              <w:divBdr>
                <w:top w:val="none" w:sz="0" w:space="0" w:color="auto"/>
                <w:left w:val="none" w:sz="0" w:space="0" w:color="auto"/>
                <w:bottom w:val="none" w:sz="0" w:space="0" w:color="auto"/>
                <w:right w:val="none" w:sz="0" w:space="0" w:color="auto"/>
              </w:divBdr>
            </w:div>
          </w:divsChild>
        </w:div>
        <w:div w:id="371881035">
          <w:marLeft w:val="0"/>
          <w:marRight w:val="0"/>
          <w:marTop w:val="0"/>
          <w:marBottom w:val="0"/>
          <w:divBdr>
            <w:top w:val="none" w:sz="0" w:space="0" w:color="auto"/>
            <w:left w:val="none" w:sz="0" w:space="0" w:color="auto"/>
            <w:bottom w:val="none" w:sz="0" w:space="0" w:color="auto"/>
            <w:right w:val="none" w:sz="0" w:space="0" w:color="auto"/>
          </w:divBdr>
          <w:divsChild>
            <w:div w:id="1283731707">
              <w:marLeft w:val="0"/>
              <w:marRight w:val="0"/>
              <w:marTop w:val="0"/>
              <w:marBottom w:val="0"/>
              <w:divBdr>
                <w:top w:val="none" w:sz="0" w:space="0" w:color="auto"/>
                <w:left w:val="none" w:sz="0" w:space="0" w:color="auto"/>
                <w:bottom w:val="none" w:sz="0" w:space="0" w:color="auto"/>
                <w:right w:val="none" w:sz="0" w:space="0" w:color="auto"/>
              </w:divBdr>
            </w:div>
          </w:divsChild>
        </w:div>
        <w:div w:id="387609870">
          <w:marLeft w:val="0"/>
          <w:marRight w:val="0"/>
          <w:marTop w:val="0"/>
          <w:marBottom w:val="0"/>
          <w:divBdr>
            <w:top w:val="none" w:sz="0" w:space="0" w:color="auto"/>
            <w:left w:val="none" w:sz="0" w:space="0" w:color="auto"/>
            <w:bottom w:val="none" w:sz="0" w:space="0" w:color="auto"/>
            <w:right w:val="none" w:sz="0" w:space="0" w:color="auto"/>
          </w:divBdr>
          <w:divsChild>
            <w:div w:id="1656764570">
              <w:marLeft w:val="0"/>
              <w:marRight w:val="0"/>
              <w:marTop w:val="0"/>
              <w:marBottom w:val="0"/>
              <w:divBdr>
                <w:top w:val="none" w:sz="0" w:space="0" w:color="auto"/>
                <w:left w:val="none" w:sz="0" w:space="0" w:color="auto"/>
                <w:bottom w:val="none" w:sz="0" w:space="0" w:color="auto"/>
                <w:right w:val="none" w:sz="0" w:space="0" w:color="auto"/>
              </w:divBdr>
            </w:div>
          </w:divsChild>
        </w:div>
        <w:div w:id="391583283">
          <w:marLeft w:val="0"/>
          <w:marRight w:val="0"/>
          <w:marTop w:val="0"/>
          <w:marBottom w:val="0"/>
          <w:divBdr>
            <w:top w:val="none" w:sz="0" w:space="0" w:color="auto"/>
            <w:left w:val="none" w:sz="0" w:space="0" w:color="auto"/>
            <w:bottom w:val="none" w:sz="0" w:space="0" w:color="auto"/>
            <w:right w:val="none" w:sz="0" w:space="0" w:color="auto"/>
          </w:divBdr>
          <w:divsChild>
            <w:div w:id="489295326">
              <w:marLeft w:val="0"/>
              <w:marRight w:val="0"/>
              <w:marTop w:val="0"/>
              <w:marBottom w:val="0"/>
              <w:divBdr>
                <w:top w:val="none" w:sz="0" w:space="0" w:color="auto"/>
                <w:left w:val="none" w:sz="0" w:space="0" w:color="auto"/>
                <w:bottom w:val="none" w:sz="0" w:space="0" w:color="auto"/>
                <w:right w:val="none" w:sz="0" w:space="0" w:color="auto"/>
              </w:divBdr>
            </w:div>
          </w:divsChild>
        </w:div>
        <w:div w:id="392702945">
          <w:marLeft w:val="0"/>
          <w:marRight w:val="0"/>
          <w:marTop w:val="0"/>
          <w:marBottom w:val="0"/>
          <w:divBdr>
            <w:top w:val="none" w:sz="0" w:space="0" w:color="auto"/>
            <w:left w:val="none" w:sz="0" w:space="0" w:color="auto"/>
            <w:bottom w:val="none" w:sz="0" w:space="0" w:color="auto"/>
            <w:right w:val="none" w:sz="0" w:space="0" w:color="auto"/>
          </w:divBdr>
          <w:divsChild>
            <w:div w:id="1637105519">
              <w:marLeft w:val="0"/>
              <w:marRight w:val="0"/>
              <w:marTop w:val="0"/>
              <w:marBottom w:val="0"/>
              <w:divBdr>
                <w:top w:val="none" w:sz="0" w:space="0" w:color="auto"/>
                <w:left w:val="none" w:sz="0" w:space="0" w:color="auto"/>
                <w:bottom w:val="none" w:sz="0" w:space="0" w:color="auto"/>
                <w:right w:val="none" w:sz="0" w:space="0" w:color="auto"/>
              </w:divBdr>
            </w:div>
          </w:divsChild>
        </w:div>
        <w:div w:id="405105488">
          <w:marLeft w:val="0"/>
          <w:marRight w:val="0"/>
          <w:marTop w:val="0"/>
          <w:marBottom w:val="0"/>
          <w:divBdr>
            <w:top w:val="none" w:sz="0" w:space="0" w:color="auto"/>
            <w:left w:val="none" w:sz="0" w:space="0" w:color="auto"/>
            <w:bottom w:val="none" w:sz="0" w:space="0" w:color="auto"/>
            <w:right w:val="none" w:sz="0" w:space="0" w:color="auto"/>
          </w:divBdr>
          <w:divsChild>
            <w:div w:id="1358510425">
              <w:marLeft w:val="0"/>
              <w:marRight w:val="0"/>
              <w:marTop w:val="0"/>
              <w:marBottom w:val="0"/>
              <w:divBdr>
                <w:top w:val="none" w:sz="0" w:space="0" w:color="auto"/>
                <w:left w:val="none" w:sz="0" w:space="0" w:color="auto"/>
                <w:bottom w:val="none" w:sz="0" w:space="0" w:color="auto"/>
                <w:right w:val="none" w:sz="0" w:space="0" w:color="auto"/>
              </w:divBdr>
            </w:div>
          </w:divsChild>
        </w:div>
        <w:div w:id="411854960">
          <w:marLeft w:val="0"/>
          <w:marRight w:val="0"/>
          <w:marTop w:val="0"/>
          <w:marBottom w:val="0"/>
          <w:divBdr>
            <w:top w:val="none" w:sz="0" w:space="0" w:color="auto"/>
            <w:left w:val="none" w:sz="0" w:space="0" w:color="auto"/>
            <w:bottom w:val="none" w:sz="0" w:space="0" w:color="auto"/>
            <w:right w:val="none" w:sz="0" w:space="0" w:color="auto"/>
          </w:divBdr>
          <w:divsChild>
            <w:div w:id="598831676">
              <w:marLeft w:val="0"/>
              <w:marRight w:val="0"/>
              <w:marTop w:val="0"/>
              <w:marBottom w:val="0"/>
              <w:divBdr>
                <w:top w:val="none" w:sz="0" w:space="0" w:color="auto"/>
                <w:left w:val="none" w:sz="0" w:space="0" w:color="auto"/>
                <w:bottom w:val="none" w:sz="0" w:space="0" w:color="auto"/>
                <w:right w:val="none" w:sz="0" w:space="0" w:color="auto"/>
              </w:divBdr>
            </w:div>
          </w:divsChild>
        </w:div>
        <w:div w:id="419059215">
          <w:marLeft w:val="0"/>
          <w:marRight w:val="0"/>
          <w:marTop w:val="0"/>
          <w:marBottom w:val="0"/>
          <w:divBdr>
            <w:top w:val="none" w:sz="0" w:space="0" w:color="auto"/>
            <w:left w:val="none" w:sz="0" w:space="0" w:color="auto"/>
            <w:bottom w:val="none" w:sz="0" w:space="0" w:color="auto"/>
            <w:right w:val="none" w:sz="0" w:space="0" w:color="auto"/>
          </w:divBdr>
          <w:divsChild>
            <w:div w:id="280578314">
              <w:marLeft w:val="0"/>
              <w:marRight w:val="0"/>
              <w:marTop w:val="0"/>
              <w:marBottom w:val="0"/>
              <w:divBdr>
                <w:top w:val="none" w:sz="0" w:space="0" w:color="auto"/>
                <w:left w:val="none" w:sz="0" w:space="0" w:color="auto"/>
                <w:bottom w:val="none" w:sz="0" w:space="0" w:color="auto"/>
                <w:right w:val="none" w:sz="0" w:space="0" w:color="auto"/>
              </w:divBdr>
            </w:div>
          </w:divsChild>
        </w:div>
        <w:div w:id="420874720">
          <w:marLeft w:val="0"/>
          <w:marRight w:val="0"/>
          <w:marTop w:val="0"/>
          <w:marBottom w:val="0"/>
          <w:divBdr>
            <w:top w:val="none" w:sz="0" w:space="0" w:color="auto"/>
            <w:left w:val="none" w:sz="0" w:space="0" w:color="auto"/>
            <w:bottom w:val="none" w:sz="0" w:space="0" w:color="auto"/>
            <w:right w:val="none" w:sz="0" w:space="0" w:color="auto"/>
          </w:divBdr>
          <w:divsChild>
            <w:div w:id="560600012">
              <w:marLeft w:val="0"/>
              <w:marRight w:val="0"/>
              <w:marTop w:val="0"/>
              <w:marBottom w:val="0"/>
              <w:divBdr>
                <w:top w:val="none" w:sz="0" w:space="0" w:color="auto"/>
                <w:left w:val="none" w:sz="0" w:space="0" w:color="auto"/>
                <w:bottom w:val="none" w:sz="0" w:space="0" w:color="auto"/>
                <w:right w:val="none" w:sz="0" w:space="0" w:color="auto"/>
              </w:divBdr>
            </w:div>
          </w:divsChild>
        </w:div>
        <w:div w:id="425155393">
          <w:marLeft w:val="0"/>
          <w:marRight w:val="0"/>
          <w:marTop w:val="0"/>
          <w:marBottom w:val="0"/>
          <w:divBdr>
            <w:top w:val="none" w:sz="0" w:space="0" w:color="auto"/>
            <w:left w:val="none" w:sz="0" w:space="0" w:color="auto"/>
            <w:bottom w:val="none" w:sz="0" w:space="0" w:color="auto"/>
            <w:right w:val="none" w:sz="0" w:space="0" w:color="auto"/>
          </w:divBdr>
          <w:divsChild>
            <w:div w:id="2078823657">
              <w:marLeft w:val="0"/>
              <w:marRight w:val="0"/>
              <w:marTop w:val="0"/>
              <w:marBottom w:val="0"/>
              <w:divBdr>
                <w:top w:val="none" w:sz="0" w:space="0" w:color="auto"/>
                <w:left w:val="none" w:sz="0" w:space="0" w:color="auto"/>
                <w:bottom w:val="none" w:sz="0" w:space="0" w:color="auto"/>
                <w:right w:val="none" w:sz="0" w:space="0" w:color="auto"/>
              </w:divBdr>
            </w:div>
          </w:divsChild>
        </w:div>
        <w:div w:id="469443864">
          <w:marLeft w:val="0"/>
          <w:marRight w:val="0"/>
          <w:marTop w:val="0"/>
          <w:marBottom w:val="0"/>
          <w:divBdr>
            <w:top w:val="none" w:sz="0" w:space="0" w:color="auto"/>
            <w:left w:val="none" w:sz="0" w:space="0" w:color="auto"/>
            <w:bottom w:val="none" w:sz="0" w:space="0" w:color="auto"/>
            <w:right w:val="none" w:sz="0" w:space="0" w:color="auto"/>
          </w:divBdr>
          <w:divsChild>
            <w:div w:id="1502938280">
              <w:marLeft w:val="0"/>
              <w:marRight w:val="0"/>
              <w:marTop w:val="0"/>
              <w:marBottom w:val="0"/>
              <w:divBdr>
                <w:top w:val="none" w:sz="0" w:space="0" w:color="auto"/>
                <w:left w:val="none" w:sz="0" w:space="0" w:color="auto"/>
                <w:bottom w:val="none" w:sz="0" w:space="0" w:color="auto"/>
                <w:right w:val="none" w:sz="0" w:space="0" w:color="auto"/>
              </w:divBdr>
            </w:div>
          </w:divsChild>
        </w:div>
        <w:div w:id="474638866">
          <w:marLeft w:val="0"/>
          <w:marRight w:val="0"/>
          <w:marTop w:val="0"/>
          <w:marBottom w:val="0"/>
          <w:divBdr>
            <w:top w:val="none" w:sz="0" w:space="0" w:color="auto"/>
            <w:left w:val="none" w:sz="0" w:space="0" w:color="auto"/>
            <w:bottom w:val="none" w:sz="0" w:space="0" w:color="auto"/>
            <w:right w:val="none" w:sz="0" w:space="0" w:color="auto"/>
          </w:divBdr>
          <w:divsChild>
            <w:div w:id="1738090886">
              <w:marLeft w:val="0"/>
              <w:marRight w:val="0"/>
              <w:marTop w:val="0"/>
              <w:marBottom w:val="0"/>
              <w:divBdr>
                <w:top w:val="none" w:sz="0" w:space="0" w:color="auto"/>
                <w:left w:val="none" w:sz="0" w:space="0" w:color="auto"/>
                <w:bottom w:val="none" w:sz="0" w:space="0" w:color="auto"/>
                <w:right w:val="none" w:sz="0" w:space="0" w:color="auto"/>
              </w:divBdr>
            </w:div>
          </w:divsChild>
        </w:div>
        <w:div w:id="485778569">
          <w:marLeft w:val="0"/>
          <w:marRight w:val="0"/>
          <w:marTop w:val="0"/>
          <w:marBottom w:val="0"/>
          <w:divBdr>
            <w:top w:val="none" w:sz="0" w:space="0" w:color="auto"/>
            <w:left w:val="none" w:sz="0" w:space="0" w:color="auto"/>
            <w:bottom w:val="none" w:sz="0" w:space="0" w:color="auto"/>
            <w:right w:val="none" w:sz="0" w:space="0" w:color="auto"/>
          </w:divBdr>
          <w:divsChild>
            <w:div w:id="842624592">
              <w:marLeft w:val="0"/>
              <w:marRight w:val="0"/>
              <w:marTop w:val="0"/>
              <w:marBottom w:val="0"/>
              <w:divBdr>
                <w:top w:val="none" w:sz="0" w:space="0" w:color="auto"/>
                <w:left w:val="none" w:sz="0" w:space="0" w:color="auto"/>
                <w:bottom w:val="none" w:sz="0" w:space="0" w:color="auto"/>
                <w:right w:val="none" w:sz="0" w:space="0" w:color="auto"/>
              </w:divBdr>
            </w:div>
          </w:divsChild>
        </w:div>
        <w:div w:id="542791412">
          <w:marLeft w:val="0"/>
          <w:marRight w:val="0"/>
          <w:marTop w:val="0"/>
          <w:marBottom w:val="0"/>
          <w:divBdr>
            <w:top w:val="none" w:sz="0" w:space="0" w:color="auto"/>
            <w:left w:val="none" w:sz="0" w:space="0" w:color="auto"/>
            <w:bottom w:val="none" w:sz="0" w:space="0" w:color="auto"/>
            <w:right w:val="none" w:sz="0" w:space="0" w:color="auto"/>
          </w:divBdr>
          <w:divsChild>
            <w:div w:id="1566448546">
              <w:marLeft w:val="0"/>
              <w:marRight w:val="0"/>
              <w:marTop w:val="0"/>
              <w:marBottom w:val="0"/>
              <w:divBdr>
                <w:top w:val="none" w:sz="0" w:space="0" w:color="auto"/>
                <w:left w:val="none" w:sz="0" w:space="0" w:color="auto"/>
                <w:bottom w:val="none" w:sz="0" w:space="0" w:color="auto"/>
                <w:right w:val="none" w:sz="0" w:space="0" w:color="auto"/>
              </w:divBdr>
            </w:div>
          </w:divsChild>
        </w:div>
        <w:div w:id="580214206">
          <w:marLeft w:val="0"/>
          <w:marRight w:val="0"/>
          <w:marTop w:val="0"/>
          <w:marBottom w:val="0"/>
          <w:divBdr>
            <w:top w:val="none" w:sz="0" w:space="0" w:color="auto"/>
            <w:left w:val="none" w:sz="0" w:space="0" w:color="auto"/>
            <w:bottom w:val="none" w:sz="0" w:space="0" w:color="auto"/>
            <w:right w:val="none" w:sz="0" w:space="0" w:color="auto"/>
          </w:divBdr>
          <w:divsChild>
            <w:div w:id="541288222">
              <w:marLeft w:val="0"/>
              <w:marRight w:val="0"/>
              <w:marTop w:val="0"/>
              <w:marBottom w:val="0"/>
              <w:divBdr>
                <w:top w:val="none" w:sz="0" w:space="0" w:color="auto"/>
                <w:left w:val="none" w:sz="0" w:space="0" w:color="auto"/>
                <w:bottom w:val="none" w:sz="0" w:space="0" w:color="auto"/>
                <w:right w:val="none" w:sz="0" w:space="0" w:color="auto"/>
              </w:divBdr>
            </w:div>
          </w:divsChild>
        </w:div>
        <w:div w:id="580218470">
          <w:marLeft w:val="0"/>
          <w:marRight w:val="0"/>
          <w:marTop w:val="0"/>
          <w:marBottom w:val="0"/>
          <w:divBdr>
            <w:top w:val="none" w:sz="0" w:space="0" w:color="auto"/>
            <w:left w:val="none" w:sz="0" w:space="0" w:color="auto"/>
            <w:bottom w:val="none" w:sz="0" w:space="0" w:color="auto"/>
            <w:right w:val="none" w:sz="0" w:space="0" w:color="auto"/>
          </w:divBdr>
          <w:divsChild>
            <w:div w:id="474446998">
              <w:marLeft w:val="0"/>
              <w:marRight w:val="0"/>
              <w:marTop w:val="0"/>
              <w:marBottom w:val="0"/>
              <w:divBdr>
                <w:top w:val="none" w:sz="0" w:space="0" w:color="auto"/>
                <w:left w:val="none" w:sz="0" w:space="0" w:color="auto"/>
                <w:bottom w:val="none" w:sz="0" w:space="0" w:color="auto"/>
                <w:right w:val="none" w:sz="0" w:space="0" w:color="auto"/>
              </w:divBdr>
            </w:div>
          </w:divsChild>
        </w:div>
        <w:div w:id="601107531">
          <w:marLeft w:val="0"/>
          <w:marRight w:val="0"/>
          <w:marTop w:val="0"/>
          <w:marBottom w:val="0"/>
          <w:divBdr>
            <w:top w:val="none" w:sz="0" w:space="0" w:color="auto"/>
            <w:left w:val="none" w:sz="0" w:space="0" w:color="auto"/>
            <w:bottom w:val="none" w:sz="0" w:space="0" w:color="auto"/>
            <w:right w:val="none" w:sz="0" w:space="0" w:color="auto"/>
          </w:divBdr>
          <w:divsChild>
            <w:div w:id="139463622">
              <w:marLeft w:val="0"/>
              <w:marRight w:val="0"/>
              <w:marTop w:val="0"/>
              <w:marBottom w:val="0"/>
              <w:divBdr>
                <w:top w:val="none" w:sz="0" w:space="0" w:color="auto"/>
                <w:left w:val="none" w:sz="0" w:space="0" w:color="auto"/>
                <w:bottom w:val="none" w:sz="0" w:space="0" w:color="auto"/>
                <w:right w:val="none" w:sz="0" w:space="0" w:color="auto"/>
              </w:divBdr>
            </w:div>
          </w:divsChild>
        </w:div>
        <w:div w:id="605121413">
          <w:marLeft w:val="0"/>
          <w:marRight w:val="0"/>
          <w:marTop w:val="0"/>
          <w:marBottom w:val="0"/>
          <w:divBdr>
            <w:top w:val="none" w:sz="0" w:space="0" w:color="auto"/>
            <w:left w:val="none" w:sz="0" w:space="0" w:color="auto"/>
            <w:bottom w:val="none" w:sz="0" w:space="0" w:color="auto"/>
            <w:right w:val="none" w:sz="0" w:space="0" w:color="auto"/>
          </w:divBdr>
          <w:divsChild>
            <w:div w:id="908077390">
              <w:marLeft w:val="0"/>
              <w:marRight w:val="0"/>
              <w:marTop w:val="0"/>
              <w:marBottom w:val="0"/>
              <w:divBdr>
                <w:top w:val="none" w:sz="0" w:space="0" w:color="auto"/>
                <w:left w:val="none" w:sz="0" w:space="0" w:color="auto"/>
                <w:bottom w:val="none" w:sz="0" w:space="0" w:color="auto"/>
                <w:right w:val="none" w:sz="0" w:space="0" w:color="auto"/>
              </w:divBdr>
            </w:div>
          </w:divsChild>
        </w:div>
        <w:div w:id="622884756">
          <w:marLeft w:val="0"/>
          <w:marRight w:val="0"/>
          <w:marTop w:val="0"/>
          <w:marBottom w:val="0"/>
          <w:divBdr>
            <w:top w:val="none" w:sz="0" w:space="0" w:color="auto"/>
            <w:left w:val="none" w:sz="0" w:space="0" w:color="auto"/>
            <w:bottom w:val="none" w:sz="0" w:space="0" w:color="auto"/>
            <w:right w:val="none" w:sz="0" w:space="0" w:color="auto"/>
          </w:divBdr>
          <w:divsChild>
            <w:div w:id="1517116744">
              <w:marLeft w:val="0"/>
              <w:marRight w:val="0"/>
              <w:marTop w:val="0"/>
              <w:marBottom w:val="0"/>
              <w:divBdr>
                <w:top w:val="none" w:sz="0" w:space="0" w:color="auto"/>
                <w:left w:val="none" w:sz="0" w:space="0" w:color="auto"/>
                <w:bottom w:val="none" w:sz="0" w:space="0" w:color="auto"/>
                <w:right w:val="none" w:sz="0" w:space="0" w:color="auto"/>
              </w:divBdr>
            </w:div>
          </w:divsChild>
        </w:div>
        <w:div w:id="651566274">
          <w:marLeft w:val="0"/>
          <w:marRight w:val="0"/>
          <w:marTop w:val="0"/>
          <w:marBottom w:val="0"/>
          <w:divBdr>
            <w:top w:val="none" w:sz="0" w:space="0" w:color="auto"/>
            <w:left w:val="none" w:sz="0" w:space="0" w:color="auto"/>
            <w:bottom w:val="none" w:sz="0" w:space="0" w:color="auto"/>
            <w:right w:val="none" w:sz="0" w:space="0" w:color="auto"/>
          </w:divBdr>
          <w:divsChild>
            <w:div w:id="616451489">
              <w:marLeft w:val="0"/>
              <w:marRight w:val="0"/>
              <w:marTop w:val="0"/>
              <w:marBottom w:val="0"/>
              <w:divBdr>
                <w:top w:val="none" w:sz="0" w:space="0" w:color="auto"/>
                <w:left w:val="none" w:sz="0" w:space="0" w:color="auto"/>
                <w:bottom w:val="none" w:sz="0" w:space="0" w:color="auto"/>
                <w:right w:val="none" w:sz="0" w:space="0" w:color="auto"/>
              </w:divBdr>
            </w:div>
          </w:divsChild>
        </w:div>
        <w:div w:id="671374745">
          <w:marLeft w:val="0"/>
          <w:marRight w:val="0"/>
          <w:marTop w:val="0"/>
          <w:marBottom w:val="0"/>
          <w:divBdr>
            <w:top w:val="none" w:sz="0" w:space="0" w:color="auto"/>
            <w:left w:val="none" w:sz="0" w:space="0" w:color="auto"/>
            <w:bottom w:val="none" w:sz="0" w:space="0" w:color="auto"/>
            <w:right w:val="none" w:sz="0" w:space="0" w:color="auto"/>
          </w:divBdr>
          <w:divsChild>
            <w:div w:id="1427001150">
              <w:marLeft w:val="0"/>
              <w:marRight w:val="0"/>
              <w:marTop w:val="0"/>
              <w:marBottom w:val="0"/>
              <w:divBdr>
                <w:top w:val="none" w:sz="0" w:space="0" w:color="auto"/>
                <w:left w:val="none" w:sz="0" w:space="0" w:color="auto"/>
                <w:bottom w:val="none" w:sz="0" w:space="0" w:color="auto"/>
                <w:right w:val="none" w:sz="0" w:space="0" w:color="auto"/>
              </w:divBdr>
            </w:div>
          </w:divsChild>
        </w:div>
        <w:div w:id="678434296">
          <w:marLeft w:val="0"/>
          <w:marRight w:val="0"/>
          <w:marTop w:val="0"/>
          <w:marBottom w:val="0"/>
          <w:divBdr>
            <w:top w:val="none" w:sz="0" w:space="0" w:color="auto"/>
            <w:left w:val="none" w:sz="0" w:space="0" w:color="auto"/>
            <w:bottom w:val="none" w:sz="0" w:space="0" w:color="auto"/>
            <w:right w:val="none" w:sz="0" w:space="0" w:color="auto"/>
          </w:divBdr>
          <w:divsChild>
            <w:div w:id="840201472">
              <w:marLeft w:val="0"/>
              <w:marRight w:val="0"/>
              <w:marTop w:val="0"/>
              <w:marBottom w:val="0"/>
              <w:divBdr>
                <w:top w:val="none" w:sz="0" w:space="0" w:color="auto"/>
                <w:left w:val="none" w:sz="0" w:space="0" w:color="auto"/>
                <w:bottom w:val="none" w:sz="0" w:space="0" w:color="auto"/>
                <w:right w:val="none" w:sz="0" w:space="0" w:color="auto"/>
              </w:divBdr>
            </w:div>
          </w:divsChild>
        </w:div>
        <w:div w:id="678852562">
          <w:marLeft w:val="0"/>
          <w:marRight w:val="0"/>
          <w:marTop w:val="0"/>
          <w:marBottom w:val="0"/>
          <w:divBdr>
            <w:top w:val="none" w:sz="0" w:space="0" w:color="auto"/>
            <w:left w:val="none" w:sz="0" w:space="0" w:color="auto"/>
            <w:bottom w:val="none" w:sz="0" w:space="0" w:color="auto"/>
            <w:right w:val="none" w:sz="0" w:space="0" w:color="auto"/>
          </w:divBdr>
          <w:divsChild>
            <w:div w:id="1463040405">
              <w:marLeft w:val="0"/>
              <w:marRight w:val="0"/>
              <w:marTop w:val="0"/>
              <w:marBottom w:val="0"/>
              <w:divBdr>
                <w:top w:val="none" w:sz="0" w:space="0" w:color="auto"/>
                <w:left w:val="none" w:sz="0" w:space="0" w:color="auto"/>
                <w:bottom w:val="none" w:sz="0" w:space="0" w:color="auto"/>
                <w:right w:val="none" w:sz="0" w:space="0" w:color="auto"/>
              </w:divBdr>
            </w:div>
          </w:divsChild>
        </w:div>
        <w:div w:id="694161588">
          <w:marLeft w:val="0"/>
          <w:marRight w:val="0"/>
          <w:marTop w:val="0"/>
          <w:marBottom w:val="0"/>
          <w:divBdr>
            <w:top w:val="none" w:sz="0" w:space="0" w:color="auto"/>
            <w:left w:val="none" w:sz="0" w:space="0" w:color="auto"/>
            <w:bottom w:val="none" w:sz="0" w:space="0" w:color="auto"/>
            <w:right w:val="none" w:sz="0" w:space="0" w:color="auto"/>
          </w:divBdr>
          <w:divsChild>
            <w:div w:id="13767732">
              <w:marLeft w:val="0"/>
              <w:marRight w:val="0"/>
              <w:marTop w:val="0"/>
              <w:marBottom w:val="0"/>
              <w:divBdr>
                <w:top w:val="none" w:sz="0" w:space="0" w:color="auto"/>
                <w:left w:val="none" w:sz="0" w:space="0" w:color="auto"/>
                <w:bottom w:val="none" w:sz="0" w:space="0" w:color="auto"/>
                <w:right w:val="none" w:sz="0" w:space="0" w:color="auto"/>
              </w:divBdr>
            </w:div>
          </w:divsChild>
        </w:div>
        <w:div w:id="697197048">
          <w:marLeft w:val="0"/>
          <w:marRight w:val="0"/>
          <w:marTop w:val="0"/>
          <w:marBottom w:val="0"/>
          <w:divBdr>
            <w:top w:val="none" w:sz="0" w:space="0" w:color="auto"/>
            <w:left w:val="none" w:sz="0" w:space="0" w:color="auto"/>
            <w:bottom w:val="none" w:sz="0" w:space="0" w:color="auto"/>
            <w:right w:val="none" w:sz="0" w:space="0" w:color="auto"/>
          </w:divBdr>
          <w:divsChild>
            <w:div w:id="1331249715">
              <w:marLeft w:val="0"/>
              <w:marRight w:val="0"/>
              <w:marTop w:val="0"/>
              <w:marBottom w:val="0"/>
              <w:divBdr>
                <w:top w:val="none" w:sz="0" w:space="0" w:color="auto"/>
                <w:left w:val="none" w:sz="0" w:space="0" w:color="auto"/>
                <w:bottom w:val="none" w:sz="0" w:space="0" w:color="auto"/>
                <w:right w:val="none" w:sz="0" w:space="0" w:color="auto"/>
              </w:divBdr>
            </w:div>
          </w:divsChild>
        </w:div>
        <w:div w:id="713235770">
          <w:marLeft w:val="0"/>
          <w:marRight w:val="0"/>
          <w:marTop w:val="0"/>
          <w:marBottom w:val="0"/>
          <w:divBdr>
            <w:top w:val="none" w:sz="0" w:space="0" w:color="auto"/>
            <w:left w:val="none" w:sz="0" w:space="0" w:color="auto"/>
            <w:bottom w:val="none" w:sz="0" w:space="0" w:color="auto"/>
            <w:right w:val="none" w:sz="0" w:space="0" w:color="auto"/>
          </w:divBdr>
          <w:divsChild>
            <w:div w:id="1039163426">
              <w:marLeft w:val="0"/>
              <w:marRight w:val="0"/>
              <w:marTop w:val="0"/>
              <w:marBottom w:val="0"/>
              <w:divBdr>
                <w:top w:val="none" w:sz="0" w:space="0" w:color="auto"/>
                <w:left w:val="none" w:sz="0" w:space="0" w:color="auto"/>
                <w:bottom w:val="none" w:sz="0" w:space="0" w:color="auto"/>
                <w:right w:val="none" w:sz="0" w:space="0" w:color="auto"/>
              </w:divBdr>
            </w:div>
          </w:divsChild>
        </w:div>
        <w:div w:id="732242888">
          <w:marLeft w:val="0"/>
          <w:marRight w:val="0"/>
          <w:marTop w:val="0"/>
          <w:marBottom w:val="0"/>
          <w:divBdr>
            <w:top w:val="none" w:sz="0" w:space="0" w:color="auto"/>
            <w:left w:val="none" w:sz="0" w:space="0" w:color="auto"/>
            <w:bottom w:val="none" w:sz="0" w:space="0" w:color="auto"/>
            <w:right w:val="none" w:sz="0" w:space="0" w:color="auto"/>
          </w:divBdr>
          <w:divsChild>
            <w:div w:id="420687770">
              <w:marLeft w:val="0"/>
              <w:marRight w:val="0"/>
              <w:marTop w:val="0"/>
              <w:marBottom w:val="0"/>
              <w:divBdr>
                <w:top w:val="none" w:sz="0" w:space="0" w:color="auto"/>
                <w:left w:val="none" w:sz="0" w:space="0" w:color="auto"/>
                <w:bottom w:val="none" w:sz="0" w:space="0" w:color="auto"/>
                <w:right w:val="none" w:sz="0" w:space="0" w:color="auto"/>
              </w:divBdr>
            </w:div>
          </w:divsChild>
        </w:div>
        <w:div w:id="748384957">
          <w:marLeft w:val="0"/>
          <w:marRight w:val="0"/>
          <w:marTop w:val="0"/>
          <w:marBottom w:val="0"/>
          <w:divBdr>
            <w:top w:val="none" w:sz="0" w:space="0" w:color="auto"/>
            <w:left w:val="none" w:sz="0" w:space="0" w:color="auto"/>
            <w:bottom w:val="none" w:sz="0" w:space="0" w:color="auto"/>
            <w:right w:val="none" w:sz="0" w:space="0" w:color="auto"/>
          </w:divBdr>
          <w:divsChild>
            <w:div w:id="1875191748">
              <w:marLeft w:val="0"/>
              <w:marRight w:val="0"/>
              <w:marTop w:val="0"/>
              <w:marBottom w:val="0"/>
              <w:divBdr>
                <w:top w:val="none" w:sz="0" w:space="0" w:color="auto"/>
                <w:left w:val="none" w:sz="0" w:space="0" w:color="auto"/>
                <w:bottom w:val="none" w:sz="0" w:space="0" w:color="auto"/>
                <w:right w:val="none" w:sz="0" w:space="0" w:color="auto"/>
              </w:divBdr>
            </w:div>
          </w:divsChild>
        </w:div>
        <w:div w:id="751467298">
          <w:marLeft w:val="0"/>
          <w:marRight w:val="0"/>
          <w:marTop w:val="0"/>
          <w:marBottom w:val="0"/>
          <w:divBdr>
            <w:top w:val="none" w:sz="0" w:space="0" w:color="auto"/>
            <w:left w:val="none" w:sz="0" w:space="0" w:color="auto"/>
            <w:bottom w:val="none" w:sz="0" w:space="0" w:color="auto"/>
            <w:right w:val="none" w:sz="0" w:space="0" w:color="auto"/>
          </w:divBdr>
          <w:divsChild>
            <w:div w:id="1354964742">
              <w:marLeft w:val="0"/>
              <w:marRight w:val="0"/>
              <w:marTop w:val="0"/>
              <w:marBottom w:val="0"/>
              <w:divBdr>
                <w:top w:val="none" w:sz="0" w:space="0" w:color="auto"/>
                <w:left w:val="none" w:sz="0" w:space="0" w:color="auto"/>
                <w:bottom w:val="none" w:sz="0" w:space="0" w:color="auto"/>
                <w:right w:val="none" w:sz="0" w:space="0" w:color="auto"/>
              </w:divBdr>
            </w:div>
          </w:divsChild>
        </w:div>
        <w:div w:id="755829986">
          <w:marLeft w:val="0"/>
          <w:marRight w:val="0"/>
          <w:marTop w:val="0"/>
          <w:marBottom w:val="0"/>
          <w:divBdr>
            <w:top w:val="none" w:sz="0" w:space="0" w:color="auto"/>
            <w:left w:val="none" w:sz="0" w:space="0" w:color="auto"/>
            <w:bottom w:val="none" w:sz="0" w:space="0" w:color="auto"/>
            <w:right w:val="none" w:sz="0" w:space="0" w:color="auto"/>
          </w:divBdr>
          <w:divsChild>
            <w:div w:id="1506359735">
              <w:marLeft w:val="0"/>
              <w:marRight w:val="0"/>
              <w:marTop w:val="0"/>
              <w:marBottom w:val="0"/>
              <w:divBdr>
                <w:top w:val="none" w:sz="0" w:space="0" w:color="auto"/>
                <w:left w:val="none" w:sz="0" w:space="0" w:color="auto"/>
                <w:bottom w:val="none" w:sz="0" w:space="0" w:color="auto"/>
                <w:right w:val="none" w:sz="0" w:space="0" w:color="auto"/>
              </w:divBdr>
            </w:div>
          </w:divsChild>
        </w:div>
        <w:div w:id="761149445">
          <w:marLeft w:val="0"/>
          <w:marRight w:val="0"/>
          <w:marTop w:val="0"/>
          <w:marBottom w:val="0"/>
          <w:divBdr>
            <w:top w:val="none" w:sz="0" w:space="0" w:color="auto"/>
            <w:left w:val="none" w:sz="0" w:space="0" w:color="auto"/>
            <w:bottom w:val="none" w:sz="0" w:space="0" w:color="auto"/>
            <w:right w:val="none" w:sz="0" w:space="0" w:color="auto"/>
          </w:divBdr>
          <w:divsChild>
            <w:div w:id="1671445182">
              <w:marLeft w:val="0"/>
              <w:marRight w:val="0"/>
              <w:marTop w:val="0"/>
              <w:marBottom w:val="0"/>
              <w:divBdr>
                <w:top w:val="none" w:sz="0" w:space="0" w:color="auto"/>
                <w:left w:val="none" w:sz="0" w:space="0" w:color="auto"/>
                <w:bottom w:val="none" w:sz="0" w:space="0" w:color="auto"/>
                <w:right w:val="none" w:sz="0" w:space="0" w:color="auto"/>
              </w:divBdr>
            </w:div>
          </w:divsChild>
        </w:div>
        <w:div w:id="799225164">
          <w:marLeft w:val="0"/>
          <w:marRight w:val="0"/>
          <w:marTop w:val="0"/>
          <w:marBottom w:val="0"/>
          <w:divBdr>
            <w:top w:val="none" w:sz="0" w:space="0" w:color="auto"/>
            <w:left w:val="none" w:sz="0" w:space="0" w:color="auto"/>
            <w:bottom w:val="none" w:sz="0" w:space="0" w:color="auto"/>
            <w:right w:val="none" w:sz="0" w:space="0" w:color="auto"/>
          </w:divBdr>
          <w:divsChild>
            <w:div w:id="1820538812">
              <w:marLeft w:val="0"/>
              <w:marRight w:val="0"/>
              <w:marTop w:val="0"/>
              <w:marBottom w:val="0"/>
              <w:divBdr>
                <w:top w:val="none" w:sz="0" w:space="0" w:color="auto"/>
                <w:left w:val="none" w:sz="0" w:space="0" w:color="auto"/>
                <w:bottom w:val="none" w:sz="0" w:space="0" w:color="auto"/>
                <w:right w:val="none" w:sz="0" w:space="0" w:color="auto"/>
              </w:divBdr>
            </w:div>
          </w:divsChild>
        </w:div>
        <w:div w:id="817724601">
          <w:marLeft w:val="0"/>
          <w:marRight w:val="0"/>
          <w:marTop w:val="0"/>
          <w:marBottom w:val="0"/>
          <w:divBdr>
            <w:top w:val="none" w:sz="0" w:space="0" w:color="auto"/>
            <w:left w:val="none" w:sz="0" w:space="0" w:color="auto"/>
            <w:bottom w:val="none" w:sz="0" w:space="0" w:color="auto"/>
            <w:right w:val="none" w:sz="0" w:space="0" w:color="auto"/>
          </w:divBdr>
          <w:divsChild>
            <w:div w:id="823200553">
              <w:marLeft w:val="0"/>
              <w:marRight w:val="0"/>
              <w:marTop w:val="0"/>
              <w:marBottom w:val="0"/>
              <w:divBdr>
                <w:top w:val="none" w:sz="0" w:space="0" w:color="auto"/>
                <w:left w:val="none" w:sz="0" w:space="0" w:color="auto"/>
                <w:bottom w:val="none" w:sz="0" w:space="0" w:color="auto"/>
                <w:right w:val="none" w:sz="0" w:space="0" w:color="auto"/>
              </w:divBdr>
            </w:div>
          </w:divsChild>
        </w:div>
        <w:div w:id="847721377">
          <w:marLeft w:val="0"/>
          <w:marRight w:val="0"/>
          <w:marTop w:val="0"/>
          <w:marBottom w:val="0"/>
          <w:divBdr>
            <w:top w:val="none" w:sz="0" w:space="0" w:color="auto"/>
            <w:left w:val="none" w:sz="0" w:space="0" w:color="auto"/>
            <w:bottom w:val="none" w:sz="0" w:space="0" w:color="auto"/>
            <w:right w:val="none" w:sz="0" w:space="0" w:color="auto"/>
          </w:divBdr>
          <w:divsChild>
            <w:div w:id="1118255326">
              <w:marLeft w:val="0"/>
              <w:marRight w:val="0"/>
              <w:marTop w:val="0"/>
              <w:marBottom w:val="0"/>
              <w:divBdr>
                <w:top w:val="none" w:sz="0" w:space="0" w:color="auto"/>
                <w:left w:val="none" w:sz="0" w:space="0" w:color="auto"/>
                <w:bottom w:val="none" w:sz="0" w:space="0" w:color="auto"/>
                <w:right w:val="none" w:sz="0" w:space="0" w:color="auto"/>
              </w:divBdr>
            </w:div>
          </w:divsChild>
        </w:div>
        <w:div w:id="851607043">
          <w:marLeft w:val="0"/>
          <w:marRight w:val="0"/>
          <w:marTop w:val="0"/>
          <w:marBottom w:val="0"/>
          <w:divBdr>
            <w:top w:val="none" w:sz="0" w:space="0" w:color="auto"/>
            <w:left w:val="none" w:sz="0" w:space="0" w:color="auto"/>
            <w:bottom w:val="none" w:sz="0" w:space="0" w:color="auto"/>
            <w:right w:val="none" w:sz="0" w:space="0" w:color="auto"/>
          </w:divBdr>
          <w:divsChild>
            <w:div w:id="1208643226">
              <w:marLeft w:val="0"/>
              <w:marRight w:val="0"/>
              <w:marTop w:val="0"/>
              <w:marBottom w:val="0"/>
              <w:divBdr>
                <w:top w:val="none" w:sz="0" w:space="0" w:color="auto"/>
                <w:left w:val="none" w:sz="0" w:space="0" w:color="auto"/>
                <w:bottom w:val="none" w:sz="0" w:space="0" w:color="auto"/>
                <w:right w:val="none" w:sz="0" w:space="0" w:color="auto"/>
              </w:divBdr>
            </w:div>
          </w:divsChild>
        </w:div>
        <w:div w:id="861019335">
          <w:marLeft w:val="0"/>
          <w:marRight w:val="0"/>
          <w:marTop w:val="0"/>
          <w:marBottom w:val="0"/>
          <w:divBdr>
            <w:top w:val="none" w:sz="0" w:space="0" w:color="auto"/>
            <w:left w:val="none" w:sz="0" w:space="0" w:color="auto"/>
            <w:bottom w:val="none" w:sz="0" w:space="0" w:color="auto"/>
            <w:right w:val="none" w:sz="0" w:space="0" w:color="auto"/>
          </w:divBdr>
          <w:divsChild>
            <w:div w:id="2058815717">
              <w:marLeft w:val="0"/>
              <w:marRight w:val="0"/>
              <w:marTop w:val="0"/>
              <w:marBottom w:val="0"/>
              <w:divBdr>
                <w:top w:val="none" w:sz="0" w:space="0" w:color="auto"/>
                <w:left w:val="none" w:sz="0" w:space="0" w:color="auto"/>
                <w:bottom w:val="none" w:sz="0" w:space="0" w:color="auto"/>
                <w:right w:val="none" w:sz="0" w:space="0" w:color="auto"/>
              </w:divBdr>
            </w:div>
          </w:divsChild>
        </w:div>
        <w:div w:id="874582160">
          <w:marLeft w:val="0"/>
          <w:marRight w:val="0"/>
          <w:marTop w:val="0"/>
          <w:marBottom w:val="0"/>
          <w:divBdr>
            <w:top w:val="none" w:sz="0" w:space="0" w:color="auto"/>
            <w:left w:val="none" w:sz="0" w:space="0" w:color="auto"/>
            <w:bottom w:val="none" w:sz="0" w:space="0" w:color="auto"/>
            <w:right w:val="none" w:sz="0" w:space="0" w:color="auto"/>
          </w:divBdr>
          <w:divsChild>
            <w:div w:id="800224696">
              <w:marLeft w:val="0"/>
              <w:marRight w:val="0"/>
              <w:marTop w:val="0"/>
              <w:marBottom w:val="0"/>
              <w:divBdr>
                <w:top w:val="none" w:sz="0" w:space="0" w:color="auto"/>
                <w:left w:val="none" w:sz="0" w:space="0" w:color="auto"/>
                <w:bottom w:val="none" w:sz="0" w:space="0" w:color="auto"/>
                <w:right w:val="none" w:sz="0" w:space="0" w:color="auto"/>
              </w:divBdr>
            </w:div>
          </w:divsChild>
        </w:div>
        <w:div w:id="970330992">
          <w:marLeft w:val="0"/>
          <w:marRight w:val="0"/>
          <w:marTop w:val="0"/>
          <w:marBottom w:val="0"/>
          <w:divBdr>
            <w:top w:val="none" w:sz="0" w:space="0" w:color="auto"/>
            <w:left w:val="none" w:sz="0" w:space="0" w:color="auto"/>
            <w:bottom w:val="none" w:sz="0" w:space="0" w:color="auto"/>
            <w:right w:val="none" w:sz="0" w:space="0" w:color="auto"/>
          </w:divBdr>
          <w:divsChild>
            <w:div w:id="1024482592">
              <w:marLeft w:val="0"/>
              <w:marRight w:val="0"/>
              <w:marTop w:val="0"/>
              <w:marBottom w:val="0"/>
              <w:divBdr>
                <w:top w:val="none" w:sz="0" w:space="0" w:color="auto"/>
                <w:left w:val="none" w:sz="0" w:space="0" w:color="auto"/>
                <w:bottom w:val="none" w:sz="0" w:space="0" w:color="auto"/>
                <w:right w:val="none" w:sz="0" w:space="0" w:color="auto"/>
              </w:divBdr>
            </w:div>
          </w:divsChild>
        </w:div>
        <w:div w:id="979336653">
          <w:marLeft w:val="0"/>
          <w:marRight w:val="0"/>
          <w:marTop w:val="0"/>
          <w:marBottom w:val="0"/>
          <w:divBdr>
            <w:top w:val="none" w:sz="0" w:space="0" w:color="auto"/>
            <w:left w:val="none" w:sz="0" w:space="0" w:color="auto"/>
            <w:bottom w:val="none" w:sz="0" w:space="0" w:color="auto"/>
            <w:right w:val="none" w:sz="0" w:space="0" w:color="auto"/>
          </w:divBdr>
          <w:divsChild>
            <w:div w:id="593049922">
              <w:marLeft w:val="0"/>
              <w:marRight w:val="0"/>
              <w:marTop w:val="0"/>
              <w:marBottom w:val="0"/>
              <w:divBdr>
                <w:top w:val="none" w:sz="0" w:space="0" w:color="auto"/>
                <w:left w:val="none" w:sz="0" w:space="0" w:color="auto"/>
                <w:bottom w:val="none" w:sz="0" w:space="0" w:color="auto"/>
                <w:right w:val="none" w:sz="0" w:space="0" w:color="auto"/>
              </w:divBdr>
            </w:div>
          </w:divsChild>
        </w:div>
        <w:div w:id="995647614">
          <w:marLeft w:val="0"/>
          <w:marRight w:val="0"/>
          <w:marTop w:val="0"/>
          <w:marBottom w:val="0"/>
          <w:divBdr>
            <w:top w:val="none" w:sz="0" w:space="0" w:color="auto"/>
            <w:left w:val="none" w:sz="0" w:space="0" w:color="auto"/>
            <w:bottom w:val="none" w:sz="0" w:space="0" w:color="auto"/>
            <w:right w:val="none" w:sz="0" w:space="0" w:color="auto"/>
          </w:divBdr>
          <w:divsChild>
            <w:div w:id="1663318775">
              <w:marLeft w:val="0"/>
              <w:marRight w:val="0"/>
              <w:marTop w:val="0"/>
              <w:marBottom w:val="0"/>
              <w:divBdr>
                <w:top w:val="none" w:sz="0" w:space="0" w:color="auto"/>
                <w:left w:val="none" w:sz="0" w:space="0" w:color="auto"/>
                <w:bottom w:val="none" w:sz="0" w:space="0" w:color="auto"/>
                <w:right w:val="none" w:sz="0" w:space="0" w:color="auto"/>
              </w:divBdr>
            </w:div>
          </w:divsChild>
        </w:div>
        <w:div w:id="997150073">
          <w:marLeft w:val="0"/>
          <w:marRight w:val="0"/>
          <w:marTop w:val="0"/>
          <w:marBottom w:val="0"/>
          <w:divBdr>
            <w:top w:val="none" w:sz="0" w:space="0" w:color="auto"/>
            <w:left w:val="none" w:sz="0" w:space="0" w:color="auto"/>
            <w:bottom w:val="none" w:sz="0" w:space="0" w:color="auto"/>
            <w:right w:val="none" w:sz="0" w:space="0" w:color="auto"/>
          </w:divBdr>
          <w:divsChild>
            <w:div w:id="1743523169">
              <w:marLeft w:val="0"/>
              <w:marRight w:val="0"/>
              <w:marTop w:val="0"/>
              <w:marBottom w:val="0"/>
              <w:divBdr>
                <w:top w:val="none" w:sz="0" w:space="0" w:color="auto"/>
                <w:left w:val="none" w:sz="0" w:space="0" w:color="auto"/>
                <w:bottom w:val="none" w:sz="0" w:space="0" w:color="auto"/>
                <w:right w:val="none" w:sz="0" w:space="0" w:color="auto"/>
              </w:divBdr>
            </w:div>
          </w:divsChild>
        </w:div>
        <w:div w:id="1025524130">
          <w:marLeft w:val="0"/>
          <w:marRight w:val="0"/>
          <w:marTop w:val="0"/>
          <w:marBottom w:val="0"/>
          <w:divBdr>
            <w:top w:val="none" w:sz="0" w:space="0" w:color="auto"/>
            <w:left w:val="none" w:sz="0" w:space="0" w:color="auto"/>
            <w:bottom w:val="none" w:sz="0" w:space="0" w:color="auto"/>
            <w:right w:val="none" w:sz="0" w:space="0" w:color="auto"/>
          </w:divBdr>
          <w:divsChild>
            <w:div w:id="1638872353">
              <w:marLeft w:val="0"/>
              <w:marRight w:val="0"/>
              <w:marTop w:val="0"/>
              <w:marBottom w:val="0"/>
              <w:divBdr>
                <w:top w:val="none" w:sz="0" w:space="0" w:color="auto"/>
                <w:left w:val="none" w:sz="0" w:space="0" w:color="auto"/>
                <w:bottom w:val="none" w:sz="0" w:space="0" w:color="auto"/>
                <w:right w:val="none" w:sz="0" w:space="0" w:color="auto"/>
              </w:divBdr>
            </w:div>
          </w:divsChild>
        </w:div>
        <w:div w:id="1055933430">
          <w:marLeft w:val="0"/>
          <w:marRight w:val="0"/>
          <w:marTop w:val="0"/>
          <w:marBottom w:val="0"/>
          <w:divBdr>
            <w:top w:val="none" w:sz="0" w:space="0" w:color="auto"/>
            <w:left w:val="none" w:sz="0" w:space="0" w:color="auto"/>
            <w:bottom w:val="none" w:sz="0" w:space="0" w:color="auto"/>
            <w:right w:val="none" w:sz="0" w:space="0" w:color="auto"/>
          </w:divBdr>
          <w:divsChild>
            <w:div w:id="1885407254">
              <w:marLeft w:val="0"/>
              <w:marRight w:val="0"/>
              <w:marTop w:val="0"/>
              <w:marBottom w:val="0"/>
              <w:divBdr>
                <w:top w:val="none" w:sz="0" w:space="0" w:color="auto"/>
                <w:left w:val="none" w:sz="0" w:space="0" w:color="auto"/>
                <w:bottom w:val="none" w:sz="0" w:space="0" w:color="auto"/>
                <w:right w:val="none" w:sz="0" w:space="0" w:color="auto"/>
              </w:divBdr>
            </w:div>
          </w:divsChild>
        </w:div>
        <w:div w:id="1080445791">
          <w:marLeft w:val="0"/>
          <w:marRight w:val="0"/>
          <w:marTop w:val="0"/>
          <w:marBottom w:val="0"/>
          <w:divBdr>
            <w:top w:val="none" w:sz="0" w:space="0" w:color="auto"/>
            <w:left w:val="none" w:sz="0" w:space="0" w:color="auto"/>
            <w:bottom w:val="none" w:sz="0" w:space="0" w:color="auto"/>
            <w:right w:val="none" w:sz="0" w:space="0" w:color="auto"/>
          </w:divBdr>
          <w:divsChild>
            <w:div w:id="1508055744">
              <w:marLeft w:val="0"/>
              <w:marRight w:val="0"/>
              <w:marTop w:val="0"/>
              <w:marBottom w:val="0"/>
              <w:divBdr>
                <w:top w:val="none" w:sz="0" w:space="0" w:color="auto"/>
                <w:left w:val="none" w:sz="0" w:space="0" w:color="auto"/>
                <w:bottom w:val="none" w:sz="0" w:space="0" w:color="auto"/>
                <w:right w:val="none" w:sz="0" w:space="0" w:color="auto"/>
              </w:divBdr>
            </w:div>
          </w:divsChild>
        </w:div>
        <w:div w:id="1089429591">
          <w:marLeft w:val="0"/>
          <w:marRight w:val="0"/>
          <w:marTop w:val="0"/>
          <w:marBottom w:val="0"/>
          <w:divBdr>
            <w:top w:val="none" w:sz="0" w:space="0" w:color="auto"/>
            <w:left w:val="none" w:sz="0" w:space="0" w:color="auto"/>
            <w:bottom w:val="none" w:sz="0" w:space="0" w:color="auto"/>
            <w:right w:val="none" w:sz="0" w:space="0" w:color="auto"/>
          </w:divBdr>
          <w:divsChild>
            <w:div w:id="325549547">
              <w:marLeft w:val="0"/>
              <w:marRight w:val="0"/>
              <w:marTop w:val="0"/>
              <w:marBottom w:val="0"/>
              <w:divBdr>
                <w:top w:val="none" w:sz="0" w:space="0" w:color="auto"/>
                <w:left w:val="none" w:sz="0" w:space="0" w:color="auto"/>
                <w:bottom w:val="none" w:sz="0" w:space="0" w:color="auto"/>
                <w:right w:val="none" w:sz="0" w:space="0" w:color="auto"/>
              </w:divBdr>
            </w:div>
          </w:divsChild>
        </w:div>
        <w:div w:id="1094520860">
          <w:marLeft w:val="0"/>
          <w:marRight w:val="0"/>
          <w:marTop w:val="0"/>
          <w:marBottom w:val="0"/>
          <w:divBdr>
            <w:top w:val="none" w:sz="0" w:space="0" w:color="auto"/>
            <w:left w:val="none" w:sz="0" w:space="0" w:color="auto"/>
            <w:bottom w:val="none" w:sz="0" w:space="0" w:color="auto"/>
            <w:right w:val="none" w:sz="0" w:space="0" w:color="auto"/>
          </w:divBdr>
          <w:divsChild>
            <w:div w:id="704209722">
              <w:marLeft w:val="0"/>
              <w:marRight w:val="0"/>
              <w:marTop w:val="0"/>
              <w:marBottom w:val="0"/>
              <w:divBdr>
                <w:top w:val="none" w:sz="0" w:space="0" w:color="auto"/>
                <w:left w:val="none" w:sz="0" w:space="0" w:color="auto"/>
                <w:bottom w:val="none" w:sz="0" w:space="0" w:color="auto"/>
                <w:right w:val="none" w:sz="0" w:space="0" w:color="auto"/>
              </w:divBdr>
            </w:div>
          </w:divsChild>
        </w:div>
        <w:div w:id="1098912023">
          <w:marLeft w:val="0"/>
          <w:marRight w:val="0"/>
          <w:marTop w:val="0"/>
          <w:marBottom w:val="0"/>
          <w:divBdr>
            <w:top w:val="none" w:sz="0" w:space="0" w:color="auto"/>
            <w:left w:val="none" w:sz="0" w:space="0" w:color="auto"/>
            <w:bottom w:val="none" w:sz="0" w:space="0" w:color="auto"/>
            <w:right w:val="none" w:sz="0" w:space="0" w:color="auto"/>
          </w:divBdr>
          <w:divsChild>
            <w:div w:id="1605571654">
              <w:marLeft w:val="0"/>
              <w:marRight w:val="0"/>
              <w:marTop w:val="0"/>
              <w:marBottom w:val="0"/>
              <w:divBdr>
                <w:top w:val="none" w:sz="0" w:space="0" w:color="auto"/>
                <w:left w:val="none" w:sz="0" w:space="0" w:color="auto"/>
                <w:bottom w:val="none" w:sz="0" w:space="0" w:color="auto"/>
                <w:right w:val="none" w:sz="0" w:space="0" w:color="auto"/>
              </w:divBdr>
            </w:div>
          </w:divsChild>
        </w:div>
        <w:div w:id="1130435292">
          <w:marLeft w:val="0"/>
          <w:marRight w:val="0"/>
          <w:marTop w:val="0"/>
          <w:marBottom w:val="0"/>
          <w:divBdr>
            <w:top w:val="none" w:sz="0" w:space="0" w:color="auto"/>
            <w:left w:val="none" w:sz="0" w:space="0" w:color="auto"/>
            <w:bottom w:val="none" w:sz="0" w:space="0" w:color="auto"/>
            <w:right w:val="none" w:sz="0" w:space="0" w:color="auto"/>
          </w:divBdr>
          <w:divsChild>
            <w:div w:id="1986473906">
              <w:marLeft w:val="0"/>
              <w:marRight w:val="0"/>
              <w:marTop w:val="0"/>
              <w:marBottom w:val="0"/>
              <w:divBdr>
                <w:top w:val="none" w:sz="0" w:space="0" w:color="auto"/>
                <w:left w:val="none" w:sz="0" w:space="0" w:color="auto"/>
                <w:bottom w:val="none" w:sz="0" w:space="0" w:color="auto"/>
                <w:right w:val="none" w:sz="0" w:space="0" w:color="auto"/>
              </w:divBdr>
            </w:div>
          </w:divsChild>
        </w:div>
        <w:div w:id="1143277108">
          <w:marLeft w:val="0"/>
          <w:marRight w:val="0"/>
          <w:marTop w:val="0"/>
          <w:marBottom w:val="0"/>
          <w:divBdr>
            <w:top w:val="none" w:sz="0" w:space="0" w:color="auto"/>
            <w:left w:val="none" w:sz="0" w:space="0" w:color="auto"/>
            <w:bottom w:val="none" w:sz="0" w:space="0" w:color="auto"/>
            <w:right w:val="none" w:sz="0" w:space="0" w:color="auto"/>
          </w:divBdr>
          <w:divsChild>
            <w:div w:id="124784970">
              <w:marLeft w:val="0"/>
              <w:marRight w:val="0"/>
              <w:marTop w:val="0"/>
              <w:marBottom w:val="0"/>
              <w:divBdr>
                <w:top w:val="none" w:sz="0" w:space="0" w:color="auto"/>
                <w:left w:val="none" w:sz="0" w:space="0" w:color="auto"/>
                <w:bottom w:val="none" w:sz="0" w:space="0" w:color="auto"/>
                <w:right w:val="none" w:sz="0" w:space="0" w:color="auto"/>
              </w:divBdr>
            </w:div>
          </w:divsChild>
        </w:div>
        <w:div w:id="1213536201">
          <w:marLeft w:val="0"/>
          <w:marRight w:val="0"/>
          <w:marTop w:val="0"/>
          <w:marBottom w:val="0"/>
          <w:divBdr>
            <w:top w:val="none" w:sz="0" w:space="0" w:color="auto"/>
            <w:left w:val="none" w:sz="0" w:space="0" w:color="auto"/>
            <w:bottom w:val="none" w:sz="0" w:space="0" w:color="auto"/>
            <w:right w:val="none" w:sz="0" w:space="0" w:color="auto"/>
          </w:divBdr>
          <w:divsChild>
            <w:div w:id="138809504">
              <w:marLeft w:val="0"/>
              <w:marRight w:val="0"/>
              <w:marTop w:val="0"/>
              <w:marBottom w:val="0"/>
              <w:divBdr>
                <w:top w:val="none" w:sz="0" w:space="0" w:color="auto"/>
                <w:left w:val="none" w:sz="0" w:space="0" w:color="auto"/>
                <w:bottom w:val="none" w:sz="0" w:space="0" w:color="auto"/>
                <w:right w:val="none" w:sz="0" w:space="0" w:color="auto"/>
              </w:divBdr>
            </w:div>
          </w:divsChild>
        </w:div>
        <w:div w:id="1219853083">
          <w:marLeft w:val="0"/>
          <w:marRight w:val="0"/>
          <w:marTop w:val="0"/>
          <w:marBottom w:val="0"/>
          <w:divBdr>
            <w:top w:val="none" w:sz="0" w:space="0" w:color="auto"/>
            <w:left w:val="none" w:sz="0" w:space="0" w:color="auto"/>
            <w:bottom w:val="none" w:sz="0" w:space="0" w:color="auto"/>
            <w:right w:val="none" w:sz="0" w:space="0" w:color="auto"/>
          </w:divBdr>
          <w:divsChild>
            <w:div w:id="332608561">
              <w:marLeft w:val="0"/>
              <w:marRight w:val="0"/>
              <w:marTop w:val="0"/>
              <w:marBottom w:val="0"/>
              <w:divBdr>
                <w:top w:val="none" w:sz="0" w:space="0" w:color="auto"/>
                <w:left w:val="none" w:sz="0" w:space="0" w:color="auto"/>
                <w:bottom w:val="none" w:sz="0" w:space="0" w:color="auto"/>
                <w:right w:val="none" w:sz="0" w:space="0" w:color="auto"/>
              </w:divBdr>
            </w:div>
          </w:divsChild>
        </w:div>
        <w:div w:id="1230923924">
          <w:marLeft w:val="0"/>
          <w:marRight w:val="0"/>
          <w:marTop w:val="0"/>
          <w:marBottom w:val="0"/>
          <w:divBdr>
            <w:top w:val="none" w:sz="0" w:space="0" w:color="auto"/>
            <w:left w:val="none" w:sz="0" w:space="0" w:color="auto"/>
            <w:bottom w:val="none" w:sz="0" w:space="0" w:color="auto"/>
            <w:right w:val="none" w:sz="0" w:space="0" w:color="auto"/>
          </w:divBdr>
          <w:divsChild>
            <w:div w:id="420182090">
              <w:marLeft w:val="0"/>
              <w:marRight w:val="0"/>
              <w:marTop w:val="0"/>
              <w:marBottom w:val="0"/>
              <w:divBdr>
                <w:top w:val="none" w:sz="0" w:space="0" w:color="auto"/>
                <w:left w:val="none" w:sz="0" w:space="0" w:color="auto"/>
                <w:bottom w:val="none" w:sz="0" w:space="0" w:color="auto"/>
                <w:right w:val="none" w:sz="0" w:space="0" w:color="auto"/>
              </w:divBdr>
            </w:div>
          </w:divsChild>
        </w:div>
        <w:div w:id="1250308365">
          <w:marLeft w:val="0"/>
          <w:marRight w:val="0"/>
          <w:marTop w:val="0"/>
          <w:marBottom w:val="0"/>
          <w:divBdr>
            <w:top w:val="none" w:sz="0" w:space="0" w:color="auto"/>
            <w:left w:val="none" w:sz="0" w:space="0" w:color="auto"/>
            <w:bottom w:val="none" w:sz="0" w:space="0" w:color="auto"/>
            <w:right w:val="none" w:sz="0" w:space="0" w:color="auto"/>
          </w:divBdr>
          <w:divsChild>
            <w:div w:id="813452746">
              <w:marLeft w:val="0"/>
              <w:marRight w:val="0"/>
              <w:marTop w:val="0"/>
              <w:marBottom w:val="0"/>
              <w:divBdr>
                <w:top w:val="none" w:sz="0" w:space="0" w:color="auto"/>
                <w:left w:val="none" w:sz="0" w:space="0" w:color="auto"/>
                <w:bottom w:val="none" w:sz="0" w:space="0" w:color="auto"/>
                <w:right w:val="none" w:sz="0" w:space="0" w:color="auto"/>
              </w:divBdr>
            </w:div>
          </w:divsChild>
        </w:div>
        <w:div w:id="1265577530">
          <w:marLeft w:val="0"/>
          <w:marRight w:val="0"/>
          <w:marTop w:val="0"/>
          <w:marBottom w:val="0"/>
          <w:divBdr>
            <w:top w:val="none" w:sz="0" w:space="0" w:color="auto"/>
            <w:left w:val="none" w:sz="0" w:space="0" w:color="auto"/>
            <w:bottom w:val="none" w:sz="0" w:space="0" w:color="auto"/>
            <w:right w:val="none" w:sz="0" w:space="0" w:color="auto"/>
          </w:divBdr>
          <w:divsChild>
            <w:div w:id="766734012">
              <w:marLeft w:val="0"/>
              <w:marRight w:val="0"/>
              <w:marTop w:val="0"/>
              <w:marBottom w:val="0"/>
              <w:divBdr>
                <w:top w:val="none" w:sz="0" w:space="0" w:color="auto"/>
                <w:left w:val="none" w:sz="0" w:space="0" w:color="auto"/>
                <w:bottom w:val="none" w:sz="0" w:space="0" w:color="auto"/>
                <w:right w:val="none" w:sz="0" w:space="0" w:color="auto"/>
              </w:divBdr>
            </w:div>
          </w:divsChild>
        </w:div>
        <w:div w:id="1269046185">
          <w:marLeft w:val="0"/>
          <w:marRight w:val="0"/>
          <w:marTop w:val="0"/>
          <w:marBottom w:val="0"/>
          <w:divBdr>
            <w:top w:val="none" w:sz="0" w:space="0" w:color="auto"/>
            <w:left w:val="none" w:sz="0" w:space="0" w:color="auto"/>
            <w:bottom w:val="none" w:sz="0" w:space="0" w:color="auto"/>
            <w:right w:val="none" w:sz="0" w:space="0" w:color="auto"/>
          </w:divBdr>
          <w:divsChild>
            <w:div w:id="459033964">
              <w:marLeft w:val="0"/>
              <w:marRight w:val="0"/>
              <w:marTop w:val="0"/>
              <w:marBottom w:val="0"/>
              <w:divBdr>
                <w:top w:val="none" w:sz="0" w:space="0" w:color="auto"/>
                <w:left w:val="none" w:sz="0" w:space="0" w:color="auto"/>
                <w:bottom w:val="none" w:sz="0" w:space="0" w:color="auto"/>
                <w:right w:val="none" w:sz="0" w:space="0" w:color="auto"/>
              </w:divBdr>
            </w:div>
          </w:divsChild>
        </w:div>
        <w:div w:id="1272515531">
          <w:marLeft w:val="0"/>
          <w:marRight w:val="0"/>
          <w:marTop w:val="0"/>
          <w:marBottom w:val="0"/>
          <w:divBdr>
            <w:top w:val="none" w:sz="0" w:space="0" w:color="auto"/>
            <w:left w:val="none" w:sz="0" w:space="0" w:color="auto"/>
            <w:bottom w:val="none" w:sz="0" w:space="0" w:color="auto"/>
            <w:right w:val="none" w:sz="0" w:space="0" w:color="auto"/>
          </w:divBdr>
          <w:divsChild>
            <w:div w:id="276066894">
              <w:marLeft w:val="0"/>
              <w:marRight w:val="0"/>
              <w:marTop w:val="0"/>
              <w:marBottom w:val="0"/>
              <w:divBdr>
                <w:top w:val="none" w:sz="0" w:space="0" w:color="auto"/>
                <w:left w:val="none" w:sz="0" w:space="0" w:color="auto"/>
                <w:bottom w:val="none" w:sz="0" w:space="0" w:color="auto"/>
                <w:right w:val="none" w:sz="0" w:space="0" w:color="auto"/>
              </w:divBdr>
            </w:div>
          </w:divsChild>
        </w:div>
        <w:div w:id="1299140305">
          <w:marLeft w:val="0"/>
          <w:marRight w:val="0"/>
          <w:marTop w:val="0"/>
          <w:marBottom w:val="0"/>
          <w:divBdr>
            <w:top w:val="none" w:sz="0" w:space="0" w:color="auto"/>
            <w:left w:val="none" w:sz="0" w:space="0" w:color="auto"/>
            <w:bottom w:val="none" w:sz="0" w:space="0" w:color="auto"/>
            <w:right w:val="none" w:sz="0" w:space="0" w:color="auto"/>
          </w:divBdr>
          <w:divsChild>
            <w:div w:id="1553731043">
              <w:marLeft w:val="0"/>
              <w:marRight w:val="0"/>
              <w:marTop w:val="0"/>
              <w:marBottom w:val="0"/>
              <w:divBdr>
                <w:top w:val="none" w:sz="0" w:space="0" w:color="auto"/>
                <w:left w:val="none" w:sz="0" w:space="0" w:color="auto"/>
                <w:bottom w:val="none" w:sz="0" w:space="0" w:color="auto"/>
                <w:right w:val="none" w:sz="0" w:space="0" w:color="auto"/>
              </w:divBdr>
            </w:div>
          </w:divsChild>
        </w:div>
        <w:div w:id="1348827787">
          <w:marLeft w:val="0"/>
          <w:marRight w:val="0"/>
          <w:marTop w:val="0"/>
          <w:marBottom w:val="0"/>
          <w:divBdr>
            <w:top w:val="none" w:sz="0" w:space="0" w:color="auto"/>
            <w:left w:val="none" w:sz="0" w:space="0" w:color="auto"/>
            <w:bottom w:val="none" w:sz="0" w:space="0" w:color="auto"/>
            <w:right w:val="none" w:sz="0" w:space="0" w:color="auto"/>
          </w:divBdr>
          <w:divsChild>
            <w:div w:id="462043569">
              <w:marLeft w:val="0"/>
              <w:marRight w:val="0"/>
              <w:marTop w:val="0"/>
              <w:marBottom w:val="0"/>
              <w:divBdr>
                <w:top w:val="none" w:sz="0" w:space="0" w:color="auto"/>
                <w:left w:val="none" w:sz="0" w:space="0" w:color="auto"/>
                <w:bottom w:val="none" w:sz="0" w:space="0" w:color="auto"/>
                <w:right w:val="none" w:sz="0" w:space="0" w:color="auto"/>
              </w:divBdr>
            </w:div>
          </w:divsChild>
        </w:div>
        <w:div w:id="1375613895">
          <w:marLeft w:val="0"/>
          <w:marRight w:val="0"/>
          <w:marTop w:val="0"/>
          <w:marBottom w:val="0"/>
          <w:divBdr>
            <w:top w:val="none" w:sz="0" w:space="0" w:color="auto"/>
            <w:left w:val="none" w:sz="0" w:space="0" w:color="auto"/>
            <w:bottom w:val="none" w:sz="0" w:space="0" w:color="auto"/>
            <w:right w:val="none" w:sz="0" w:space="0" w:color="auto"/>
          </w:divBdr>
          <w:divsChild>
            <w:div w:id="392780962">
              <w:marLeft w:val="0"/>
              <w:marRight w:val="0"/>
              <w:marTop w:val="0"/>
              <w:marBottom w:val="0"/>
              <w:divBdr>
                <w:top w:val="none" w:sz="0" w:space="0" w:color="auto"/>
                <w:left w:val="none" w:sz="0" w:space="0" w:color="auto"/>
                <w:bottom w:val="none" w:sz="0" w:space="0" w:color="auto"/>
                <w:right w:val="none" w:sz="0" w:space="0" w:color="auto"/>
              </w:divBdr>
            </w:div>
          </w:divsChild>
        </w:div>
        <w:div w:id="1408577160">
          <w:marLeft w:val="0"/>
          <w:marRight w:val="0"/>
          <w:marTop w:val="0"/>
          <w:marBottom w:val="0"/>
          <w:divBdr>
            <w:top w:val="none" w:sz="0" w:space="0" w:color="auto"/>
            <w:left w:val="none" w:sz="0" w:space="0" w:color="auto"/>
            <w:bottom w:val="none" w:sz="0" w:space="0" w:color="auto"/>
            <w:right w:val="none" w:sz="0" w:space="0" w:color="auto"/>
          </w:divBdr>
          <w:divsChild>
            <w:div w:id="1862232617">
              <w:marLeft w:val="0"/>
              <w:marRight w:val="0"/>
              <w:marTop w:val="0"/>
              <w:marBottom w:val="0"/>
              <w:divBdr>
                <w:top w:val="none" w:sz="0" w:space="0" w:color="auto"/>
                <w:left w:val="none" w:sz="0" w:space="0" w:color="auto"/>
                <w:bottom w:val="none" w:sz="0" w:space="0" w:color="auto"/>
                <w:right w:val="none" w:sz="0" w:space="0" w:color="auto"/>
              </w:divBdr>
            </w:div>
          </w:divsChild>
        </w:div>
        <w:div w:id="1420565344">
          <w:marLeft w:val="0"/>
          <w:marRight w:val="0"/>
          <w:marTop w:val="0"/>
          <w:marBottom w:val="0"/>
          <w:divBdr>
            <w:top w:val="none" w:sz="0" w:space="0" w:color="auto"/>
            <w:left w:val="none" w:sz="0" w:space="0" w:color="auto"/>
            <w:bottom w:val="none" w:sz="0" w:space="0" w:color="auto"/>
            <w:right w:val="none" w:sz="0" w:space="0" w:color="auto"/>
          </w:divBdr>
          <w:divsChild>
            <w:div w:id="1041787570">
              <w:marLeft w:val="0"/>
              <w:marRight w:val="0"/>
              <w:marTop w:val="0"/>
              <w:marBottom w:val="0"/>
              <w:divBdr>
                <w:top w:val="none" w:sz="0" w:space="0" w:color="auto"/>
                <w:left w:val="none" w:sz="0" w:space="0" w:color="auto"/>
                <w:bottom w:val="none" w:sz="0" w:space="0" w:color="auto"/>
                <w:right w:val="none" w:sz="0" w:space="0" w:color="auto"/>
              </w:divBdr>
            </w:div>
          </w:divsChild>
        </w:div>
        <w:div w:id="1421759977">
          <w:marLeft w:val="0"/>
          <w:marRight w:val="0"/>
          <w:marTop w:val="0"/>
          <w:marBottom w:val="0"/>
          <w:divBdr>
            <w:top w:val="none" w:sz="0" w:space="0" w:color="auto"/>
            <w:left w:val="none" w:sz="0" w:space="0" w:color="auto"/>
            <w:bottom w:val="none" w:sz="0" w:space="0" w:color="auto"/>
            <w:right w:val="none" w:sz="0" w:space="0" w:color="auto"/>
          </w:divBdr>
          <w:divsChild>
            <w:div w:id="18093096">
              <w:marLeft w:val="0"/>
              <w:marRight w:val="0"/>
              <w:marTop w:val="0"/>
              <w:marBottom w:val="0"/>
              <w:divBdr>
                <w:top w:val="none" w:sz="0" w:space="0" w:color="auto"/>
                <w:left w:val="none" w:sz="0" w:space="0" w:color="auto"/>
                <w:bottom w:val="none" w:sz="0" w:space="0" w:color="auto"/>
                <w:right w:val="none" w:sz="0" w:space="0" w:color="auto"/>
              </w:divBdr>
            </w:div>
          </w:divsChild>
        </w:div>
        <w:div w:id="1424842707">
          <w:marLeft w:val="0"/>
          <w:marRight w:val="0"/>
          <w:marTop w:val="0"/>
          <w:marBottom w:val="0"/>
          <w:divBdr>
            <w:top w:val="none" w:sz="0" w:space="0" w:color="auto"/>
            <w:left w:val="none" w:sz="0" w:space="0" w:color="auto"/>
            <w:bottom w:val="none" w:sz="0" w:space="0" w:color="auto"/>
            <w:right w:val="none" w:sz="0" w:space="0" w:color="auto"/>
          </w:divBdr>
          <w:divsChild>
            <w:div w:id="1893613851">
              <w:marLeft w:val="0"/>
              <w:marRight w:val="0"/>
              <w:marTop w:val="0"/>
              <w:marBottom w:val="0"/>
              <w:divBdr>
                <w:top w:val="none" w:sz="0" w:space="0" w:color="auto"/>
                <w:left w:val="none" w:sz="0" w:space="0" w:color="auto"/>
                <w:bottom w:val="none" w:sz="0" w:space="0" w:color="auto"/>
                <w:right w:val="none" w:sz="0" w:space="0" w:color="auto"/>
              </w:divBdr>
            </w:div>
          </w:divsChild>
        </w:div>
        <w:div w:id="1433429039">
          <w:marLeft w:val="0"/>
          <w:marRight w:val="0"/>
          <w:marTop w:val="0"/>
          <w:marBottom w:val="0"/>
          <w:divBdr>
            <w:top w:val="none" w:sz="0" w:space="0" w:color="auto"/>
            <w:left w:val="none" w:sz="0" w:space="0" w:color="auto"/>
            <w:bottom w:val="none" w:sz="0" w:space="0" w:color="auto"/>
            <w:right w:val="none" w:sz="0" w:space="0" w:color="auto"/>
          </w:divBdr>
          <w:divsChild>
            <w:div w:id="1124928695">
              <w:marLeft w:val="0"/>
              <w:marRight w:val="0"/>
              <w:marTop w:val="0"/>
              <w:marBottom w:val="0"/>
              <w:divBdr>
                <w:top w:val="none" w:sz="0" w:space="0" w:color="auto"/>
                <w:left w:val="none" w:sz="0" w:space="0" w:color="auto"/>
                <w:bottom w:val="none" w:sz="0" w:space="0" w:color="auto"/>
                <w:right w:val="none" w:sz="0" w:space="0" w:color="auto"/>
              </w:divBdr>
            </w:div>
          </w:divsChild>
        </w:div>
        <w:div w:id="1444886310">
          <w:marLeft w:val="0"/>
          <w:marRight w:val="0"/>
          <w:marTop w:val="0"/>
          <w:marBottom w:val="0"/>
          <w:divBdr>
            <w:top w:val="none" w:sz="0" w:space="0" w:color="auto"/>
            <w:left w:val="none" w:sz="0" w:space="0" w:color="auto"/>
            <w:bottom w:val="none" w:sz="0" w:space="0" w:color="auto"/>
            <w:right w:val="none" w:sz="0" w:space="0" w:color="auto"/>
          </w:divBdr>
          <w:divsChild>
            <w:div w:id="1700618486">
              <w:marLeft w:val="0"/>
              <w:marRight w:val="0"/>
              <w:marTop w:val="0"/>
              <w:marBottom w:val="0"/>
              <w:divBdr>
                <w:top w:val="none" w:sz="0" w:space="0" w:color="auto"/>
                <w:left w:val="none" w:sz="0" w:space="0" w:color="auto"/>
                <w:bottom w:val="none" w:sz="0" w:space="0" w:color="auto"/>
                <w:right w:val="none" w:sz="0" w:space="0" w:color="auto"/>
              </w:divBdr>
            </w:div>
          </w:divsChild>
        </w:div>
        <w:div w:id="1471315654">
          <w:marLeft w:val="0"/>
          <w:marRight w:val="0"/>
          <w:marTop w:val="0"/>
          <w:marBottom w:val="0"/>
          <w:divBdr>
            <w:top w:val="none" w:sz="0" w:space="0" w:color="auto"/>
            <w:left w:val="none" w:sz="0" w:space="0" w:color="auto"/>
            <w:bottom w:val="none" w:sz="0" w:space="0" w:color="auto"/>
            <w:right w:val="none" w:sz="0" w:space="0" w:color="auto"/>
          </w:divBdr>
          <w:divsChild>
            <w:div w:id="1776360319">
              <w:marLeft w:val="0"/>
              <w:marRight w:val="0"/>
              <w:marTop w:val="0"/>
              <w:marBottom w:val="0"/>
              <w:divBdr>
                <w:top w:val="none" w:sz="0" w:space="0" w:color="auto"/>
                <w:left w:val="none" w:sz="0" w:space="0" w:color="auto"/>
                <w:bottom w:val="none" w:sz="0" w:space="0" w:color="auto"/>
                <w:right w:val="none" w:sz="0" w:space="0" w:color="auto"/>
              </w:divBdr>
            </w:div>
          </w:divsChild>
        </w:div>
        <w:div w:id="1471745803">
          <w:marLeft w:val="0"/>
          <w:marRight w:val="0"/>
          <w:marTop w:val="0"/>
          <w:marBottom w:val="0"/>
          <w:divBdr>
            <w:top w:val="none" w:sz="0" w:space="0" w:color="auto"/>
            <w:left w:val="none" w:sz="0" w:space="0" w:color="auto"/>
            <w:bottom w:val="none" w:sz="0" w:space="0" w:color="auto"/>
            <w:right w:val="none" w:sz="0" w:space="0" w:color="auto"/>
          </w:divBdr>
          <w:divsChild>
            <w:div w:id="1308315776">
              <w:marLeft w:val="0"/>
              <w:marRight w:val="0"/>
              <w:marTop w:val="0"/>
              <w:marBottom w:val="0"/>
              <w:divBdr>
                <w:top w:val="none" w:sz="0" w:space="0" w:color="auto"/>
                <w:left w:val="none" w:sz="0" w:space="0" w:color="auto"/>
                <w:bottom w:val="none" w:sz="0" w:space="0" w:color="auto"/>
                <w:right w:val="none" w:sz="0" w:space="0" w:color="auto"/>
              </w:divBdr>
            </w:div>
          </w:divsChild>
        </w:div>
        <w:div w:id="1476533089">
          <w:marLeft w:val="0"/>
          <w:marRight w:val="0"/>
          <w:marTop w:val="0"/>
          <w:marBottom w:val="0"/>
          <w:divBdr>
            <w:top w:val="none" w:sz="0" w:space="0" w:color="auto"/>
            <w:left w:val="none" w:sz="0" w:space="0" w:color="auto"/>
            <w:bottom w:val="none" w:sz="0" w:space="0" w:color="auto"/>
            <w:right w:val="none" w:sz="0" w:space="0" w:color="auto"/>
          </w:divBdr>
          <w:divsChild>
            <w:div w:id="696659279">
              <w:marLeft w:val="0"/>
              <w:marRight w:val="0"/>
              <w:marTop w:val="0"/>
              <w:marBottom w:val="0"/>
              <w:divBdr>
                <w:top w:val="none" w:sz="0" w:space="0" w:color="auto"/>
                <w:left w:val="none" w:sz="0" w:space="0" w:color="auto"/>
                <w:bottom w:val="none" w:sz="0" w:space="0" w:color="auto"/>
                <w:right w:val="none" w:sz="0" w:space="0" w:color="auto"/>
              </w:divBdr>
            </w:div>
          </w:divsChild>
        </w:div>
        <w:div w:id="1489399029">
          <w:marLeft w:val="0"/>
          <w:marRight w:val="0"/>
          <w:marTop w:val="0"/>
          <w:marBottom w:val="0"/>
          <w:divBdr>
            <w:top w:val="none" w:sz="0" w:space="0" w:color="auto"/>
            <w:left w:val="none" w:sz="0" w:space="0" w:color="auto"/>
            <w:bottom w:val="none" w:sz="0" w:space="0" w:color="auto"/>
            <w:right w:val="none" w:sz="0" w:space="0" w:color="auto"/>
          </w:divBdr>
          <w:divsChild>
            <w:div w:id="612518773">
              <w:marLeft w:val="0"/>
              <w:marRight w:val="0"/>
              <w:marTop w:val="0"/>
              <w:marBottom w:val="0"/>
              <w:divBdr>
                <w:top w:val="none" w:sz="0" w:space="0" w:color="auto"/>
                <w:left w:val="none" w:sz="0" w:space="0" w:color="auto"/>
                <w:bottom w:val="none" w:sz="0" w:space="0" w:color="auto"/>
                <w:right w:val="none" w:sz="0" w:space="0" w:color="auto"/>
              </w:divBdr>
            </w:div>
          </w:divsChild>
        </w:div>
        <w:div w:id="1495685223">
          <w:marLeft w:val="0"/>
          <w:marRight w:val="0"/>
          <w:marTop w:val="0"/>
          <w:marBottom w:val="0"/>
          <w:divBdr>
            <w:top w:val="none" w:sz="0" w:space="0" w:color="auto"/>
            <w:left w:val="none" w:sz="0" w:space="0" w:color="auto"/>
            <w:bottom w:val="none" w:sz="0" w:space="0" w:color="auto"/>
            <w:right w:val="none" w:sz="0" w:space="0" w:color="auto"/>
          </w:divBdr>
          <w:divsChild>
            <w:div w:id="1006639235">
              <w:marLeft w:val="0"/>
              <w:marRight w:val="0"/>
              <w:marTop w:val="0"/>
              <w:marBottom w:val="0"/>
              <w:divBdr>
                <w:top w:val="none" w:sz="0" w:space="0" w:color="auto"/>
                <w:left w:val="none" w:sz="0" w:space="0" w:color="auto"/>
                <w:bottom w:val="none" w:sz="0" w:space="0" w:color="auto"/>
                <w:right w:val="none" w:sz="0" w:space="0" w:color="auto"/>
              </w:divBdr>
            </w:div>
          </w:divsChild>
        </w:div>
        <w:div w:id="1501234746">
          <w:marLeft w:val="0"/>
          <w:marRight w:val="0"/>
          <w:marTop w:val="0"/>
          <w:marBottom w:val="0"/>
          <w:divBdr>
            <w:top w:val="none" w:sz="0" w:space="0" w:color="auto"/>
            <w:left w:val="none" w:sz="0" w:space="0" w:color="auto"/>
            <w:bottom w:val="none" w:sz="0" w:space="0" w:color="auto"/>
            <w:right w:val="none" w:sz="0" w:space="0" w:color="auto"/>
          </w:divBdr>
          <w:divsChild>
            <w:div w:id="52587780">
              <w:marLeft w:val="0"/>
              <w:marRight w:val="0"/>
              <w:marTop w:val="0"/>
              <w:marBottom w:val="0"/>
              <w:divBdr>
                <w:top w:val="none" w:sz="0" w:space="0" w:color="auto"/>
                <w:left w:val="none" w:sz="0" w:space="0" w:color="auto"/>
                <w:bottom w:val="none" w:sz="0" w:space="0" w:color="auto"/>
                <w:right w:val="none" w:sz="0" w:space="0" w:color="auto"/>
              </w:divBdr>
            </w:div>
          </w:divsChild>
        </w:div>
        <w:div w:id="1517384202">
          <w:marLeft w:val="0"/>
          <w:marRight w:val="0"/>
          <w:marTop w:val="0"/>
          <w:marBottom w:val="0"/>
          <w:divBdr>
            <w:top w:val="none" w:sz="0" w:space="0" w:color="auto"/>
            <w:left w:val="none" w:sz="0" w:space="0" w:color="auto"/>
            <w:bottom w:val="none" w:sz="0" w:space="0" w:color="auto"/>
            <w:right w:val="none" w:sz="0" w:space="0" w:color="auto"/>
          </w:divBdr>
          <w:divsChild>
            <w:div w:id="117336547">
              <w:marLeft w:val="0"/>
              <w:marRight w:val="0"/>
              <w:marTop w:val="0"/>
              <w:marBottom w:val="0"/>
              <w:divBdr>
                <w:top w:val="none" w:sz="0" w:space="0" w:color="auto"/>
                <w:left w:val="none" w:sz="0" w:space="0" w:color="auto"/>
                <w:bottom w:val="none" w:sz="0" w:space="0" w:color="auto"/>
                <w:right w:val="none" w:sz="0" w:space="0" w:color="auto"/>
              </w:divBdr>
            </w:div>
          </w:divsChild>
        </w:div>
        <w:div w:id="1520387788">
          <w:marLeft w:val="0"/>
          <w:marRight w:val="0"/>
          <w:marTop w:val="0"/>
          <w:marBottom w:val="0"/>
          <w:divBdr>
            <w:top w:val="none" w:sz="0" w:space="0" w:color="auto"/>
            <w:left w:val="none" w:sz="0" w:space="0" w:color="auto"/>
            <w:bottom w:val="none" w:sz="0" w:space="0" w:color="auto"/>
            <w:right w:val="none" w:sz="0" w:space="0" w:color="auto"/>
          </w:divBdr>
          <w:divsChild>
            <w:div w:id="1146243496">
              <w:marLeft w:val="0"/>
              <w:marRight w:val="0"/>
              <w:marTop w:val="0"/>
              <w:marBottom w:val="0"/>
              <w:divBdr>
                <w:top w:val="none" w:sz="0" w:space="0" w:color="auto"/>
                <w:left w:val="none" w:sz="0" w:space="0" w:color="auto"/>
                <w:bottom w:val="none" w:sz="0" w:space="0" w:color="auto"/>
                <w:right w:val="none" w:sz="0" w:space="0" w:color="auto"/>
              </w:divBdr>
            </w:div>
          </w:divsChild>
        </w:div>
        <w:div w:id="1530097654">
          <w:marLeft w:val="0"/>
          <w:marRight w:val="0"/>
          <w:marTop w:val="0"/>
          <w:marBottom w:val="0"/>
          <w:divBdr>
            <w:top w:val="none" w:sz="0" w:space="0" w:color="auto"/>
            <w:left w:val="none" w:sz="0" w:space="0" w:color="auto"/>
            <w:bottom w:val="none" w:sz="0" w:space="0" w:color="auto"/>
            <w:right w:val="none" w:sz="0" w:space="0" w:color="auto"/>
          </w:divBdr>
          <w:divsChild>
            <w:div w:id="778527453">
              <w:marLeft w:val="0"/>
              <w:marRight w:val="0"/>
              <w:marTop w:val="0"/>
              <w:marBottom w:val="0"/>
              <w:divBdr>
                <w:top w:val="none" w:sz="0" w:space="0" w:color="auto"/>
                <w:left w:val="none" w:sz="0" w:space="0" w:color="auto"/>
                <w:bottom w:val="none" w:sz="0" w:space="0" w:color="auto"/>
                <w:right w:val="none" w:sz="0" w:space="0" w:color="auto"/>
              </w:divBdr>
            </w:div>
          </w:divsChild>
        </w:div>
        <w:div w:id="1531381662">
          <w:marLeft w:val="0"/>
          <w:marRight w:val="0"/>
          <w:marTop w:val="0"/>
          <w:marBottom w:val="0"/>
          <w:divBdr>
            <w:top w:val="none" w:sz="0" w:space="0" w:color="auto"/>
            <w:left w:val="none" w:sz="0" w:space="0" w:color="auto"/>
            <w:bottom w:val="none" w:sz="0" w:space="0" w:color="auto"/>
            <w:right w:val="none" w:sz="0" w:space="0" w:color="auto"/>
          </w:divBdr>
          <w:divsChild>
            <w:div w:id="1144348457">
              <w:marLeft w:val="0"/>
              <w:marRight w:val="0"/>
              <w:marTop w:val="0"/>
              <w:marBottom w:val="0"/>
              <w:divBdr>
                <w:top w:val="none" w:sz="0" w:space="0" w:color="auto"/>
                <w:left w:val="none" w:sz="0" w:space="0" w:color="auto"/>
                <w:bottom w:val="none" w:sz="0" w:space="0" w:color="auto"/>
                <w:right w:val="none" w:sz="0" w:space="0" w:color="auto"/>
              </w:divBdr>
            </w:div>
          </w:divsChild>
        </w:div>
        <w:div w:id="1536381003">
          <w:marLeft w:val="0"/>
          <w:marRight w:val="0"/>
          <w:marTop w:val="0"/>
          <w:marBottom w:val="0"/>
          <w:divBdr>
            <w:top w:val="none" w:sz="0" w:space="0" w:color="auto"/>
            <w:left w:val="none" w:sz="0" w:space="0" w:color="auto"/>
            <w:bottom w:val="none" w:sz="0" w:space="0" w:color="auto"/>
            <w:right w:val="none" w:sz="0" w:space="0" w:color="auto"/>
          </w:divBdr>
          <w:divsChild>
            <w:div w:id="159318959">
              <w:marLeft w:val="0"/>
              <w:marRight w:val="0"/>
              <w:marTop w:val="0"/>
              <w:marBottom w:val="0"/>
              <w:divBdr>
                <w:top w:val="none" w:sz="0" w:space="0" w:color="auto"/>
                <w:left w:val="none" w:sz="0" w:space="0" w:color="auto"/>
                <w:bottom w:val="none" w:sz="0" w:space="0" w:color="auto"/>
                <w:right w:val="none" w:sz="0" w:space="0" w:color="auto"/>
              </w:divBdr>
            </w:div>
          </w:divsChild>
        </w:div>
        <w:div w:id="1544975230">
          <w:marLeft w:val="0"/>
          <w:marRight w:val="0"/>
          <w:marTop w:val="0"/>
          <w:marBottom w:val="0"/>
          <w:divBdr>
            <w:top w:val="none" w:sz="0" w:space="0" w:color="auto"/>
            <w:left w:val="none" w:sz="0" w:space="0" w:color="auto"/>
            <w:bottom w:val="none" w:sz="0" w:space="0" w:color="auto"/>
            <w:right w:val="none" w:sz="0" w:space="0" w:color="auto"/>
          </w:divBdr>
          <w:divsChild>
            <w:div w:id="1864785859">
              <w:marLeft w:val="0"/>
              <w:marRight w:val="0"/>
              <w:marTop w:val="0"/>
              <w:marBottom w:val="0"/>
              <w:divBdr>
                <w:top w:val="none" w:sz="0" w:space="0" w:color="auto"/>
                <w:left w:val="none" w:sz="0" w:space="0" w:color="auto"/>
                <w:bottom w:val="none" w:sz="0" w:space="0" w:color="auto"/>
                <w:right w:val="none" w:sz="0" w:space="0" w:color="auto"/>
              </w:divBdr>
            </w:div>
          </w:divsChild>
        </w:div>
        <w:div w:id="1548100776">
          <w:marLeft w:val="0"/>
          <w:marRight w:val="0"/>
          <w:marTop w:val="0"/>
          <w:marBottom w:val="0"/>
          <w:divBdr>
            <w:top w:val="none" w:sz="0" w:space="0" w:color="auto"/>
            <w:left w:val="none" w:sz="0" w:space="0" w:color="auto"/>
            <w:bottom w:val="none" w:sz="0" w:space="0" w:color="auto"/>
            <w:right w:val="none" w:sz="0" w:space="0" w:color="auto"/>
          </w:divBdr>
          <w:divsChild>
            <w:div w:id="407073329">
              <w:marLeft w:val="0"/>
              <w:marRight w:val="0"/>
              <w:marTop w:val="0"/>
              <w:marBottom w:val="0"/>
              <w:divBdr>
                <w:top w:val="none" w:sz="0" w:space="0" w:color="auto"/>
                <w:left w:val="none" w:sz="0" w:space="0" w:color="auto"/>
                <w:bottom w:val="none" w:sz="0" w:space="0" w:color="auto"/>
                <w:right w:val="none" w:sz="0" w:space="0" w:color="auto"/>
              </w:divBdr>
            </w:div>
          </w:divsChild>
        </w:div>
        <w:div w:id="1553617089">
          <w:marLeft w:val="0"/>
          <w:marRight w:val="0"/>
          <w:marTop w:val="0"/>
          <w:marBottom w:val="0"/>
          <w:divBdr>
            <w:top w:val="none" w:sz="0" w:space="0" w:color="auto"/>
            <w:left w:val="none" w:sz="0" w:space="0" w:color="auto"/>
            <w:bottom w:val="none" w:sz="0" w:space="0" w:color="auto"/>
            <w:right w:val="none" w:sz="0" w:space="0" w:color="auto"/>
          </w:divBdr>
          <w:divsChild>
            <w:div w:id="1080441065">
              <w:marLeft w:val="0"/>
              <w:marRight w:val="0"/>
              <w:marTop w:val="0"/>
              <w:marBottom w:val="0"/>
              <w:divBdr>
                <w:top w:val="none" w:sz="0" w:space="0" w:color="auto"/>
                <w:left w:val="none" w:sz="0" w:space="0" w:color="auto"/>
                <w:bottom w:val="none" w:sz="0" w:space="0" w:color="auto"/>
                <w:right w:val="none" w:sz="0" w:space="0" w:color="auto"/>
              </w:divBdr>
            </w:div>
          </w:divsChild>
        </w:div>
        <w:div w:id="1584874833">
          <w:marLeft w:val="0"/>
          <w:marRight w:val="0"/>
          <w:marTop w:val="0"/>
          <w:marBottom w:val="0"/>
          <w:divBdr>
            <w:top w:val="none" w:sz="0" w:space="0" w:color="auto"/>
            <w:left w:val="none" w:sz="0" w:space="0" w:color="auto"/>
            <w:bottom w:val="none" w:sz="0" w:space="0" w:color="auto"/>
            <w:right w:val="none" w:sz="0" w:space="0" w:color="auto"/>
          </w:divBdr>
          <w:divsChild>
            <w:div w:id="685012699">
              <w:marLeft w:val="0"/>
              <w:marRight w:val="0"/>
              <w:marTop w:val="0"/>
              <w:marBottom w:val="0"/>
              <w:divBdr>
                <w:top w:val="none" w:sz="0" w:space="0" w:color="auto"/>
                <w:left w:val="none" w:sz="0" w:space="0" w:color="auto"/>
                <w:bottom w:val="none" w:sz="0" w:space="0" w:color="auto"/>
                <w:right w:val="none" w:sz="0" w:space="0" w:color="auto"/>
              </w:divBdr>
            </w:div>
          </w:divsChild>
        </w:div>
        <w:div w:id="1590888779">
          <w:marLeft w:val="0"/>
          <w:marRight w:val="0"/>
          <w:marTop w:val="0"/>
          <w:marBottom w:val="0"/>
          <w:divBdr>
            <w:top w:val="none" w:sz="0" w:space="0" w:color="auto"/>
            <w:left w:val="none" w:sz="0" w:space="0" w:color="auto"/>
            <w:bottom w:val="none" w:sz="0" w:space="0" w:color="auto"/>
            <w:right w:val="none" w:sz="0" w:space="0" w:color="auto"/>
          </w:divBdr>
          <w:divsChild>
            <w:div w:id="1398745697">
              <w:marLeft w:val="0"/>
              <w:marRight w:val="0"/>
              <w:marTop w:val="0"/>
              <w:marBottom w:val="0"/>
              <w:divBdr>
                <w:top w:val="none" w:sz="0" w:space="0" w:color="auto"/>
                <w:left w:val="none" w:sz="0" w:space="0" w:color="auto"/>
                <w:bottom w:val="none" w:sz="0" w:space="0" w:color="auto"/>
                <w:right w:val="none" w:sz="0" w:space="0" w:color="auto"/>
              </w:divBdr>
            </w:div>
          </w:divsChild>
        </w:div>
        <w:div w:id="1592543400">
          <w:marLeft w:val="0"/>
          <w:marRight w:val="0"/>
          <w:marTop w:val="0"/>
          <w:marBottom w:val="0"/>
          <w:divBdr>
            <w:top w:val="none" w:sz="0" w:space="0" w:color="auto"/>
            <w:left w:val="none" w:sz="0" w:space="0" w:color="auto"/>
            <w:bottom w:val="none" w:sz="0" w:space="0" w:color="auto"/>
            <w:right w:val="none" w:sz="0" w:space="0" w:color="auto"/>
          </w:divBdr>
          <w:divsChild>
            <w:div w:id="2031681875">
              <w:marLeft w:val="0"/>
              <w:marRight w:val="0"/>
              <w:marTop w:val="0"/>
              <w:marBottom w:val="0"/>
              <w:divBdr>
                <w:top w:val="none" w:sz="0" w:space="0" w:color="auto"/>
                <w:left w:val="none" w:sz="0" w:space="0" w:color="auto"/>
                <w:bottom w:val="none" w:sz="0" w:space="0" w:color="auto"/>
                <w:right w:val="none" w:sz="0" w:space="0" w:color="auto"/>
              </w:divBdr>
            </w:div>
          </w:divsChild>
        </w:div>
        <w:div w:id="1597517364">
          <w:marLeft w:val="0"/>
          <w:marRight w:val="0"/>
          <w:marTop w:val="0"/>
          <w:marBottom w:val="0"/>
          <w:divBdr>
            <w:top w:val="none" w:sz="0" w:space="0" w:color="auto"/>
            <w:left w:val="none" w:sz="0" w:space="0" w:color="auto"/>
            <w:bottom w:val="none" w:sz="0" w:space="0" w:color="auto"/>
            <w:right w:val="none" w:sz="0" w:space="0" w:color="auto"/>
          </w:divBdr>
          <w:divsChild>
            <w:div w:id="673607206">
              <w:marLeft w:val="0"/>
              <w:marRight w:val="0"/>
              <w:marTop w:val="0"/>
              <w:marBottom w:val="0"/>
              <w:divBdr>
                <w:top w:val="none" w:sz="0" w:space="0" w:color="auto"/>
                <w:left w:val="none" w:sz="0" w:space="0" w:color="auto"/>
                <w:bottom w:val="none" w:sz="0" w:space="0" w:color="auto"/>
                <w:right w:val="none" w:sz="0" w:space="0" w:color="auto"/>
              </w:divBdr>
            </w:div>
          </w:divsChild>
        </w:div>
        <w:div w:id="1651665141">
          <w:marLeft w:val="0"/>
          <w:marRight w:val="0"/>
          <w:marTop w:val="0"/>
          <w:marBottom w:val="0"/>
          <w:divBdr>
            <w:top w:val="none" w:sz="0" w:space="0" w:color="auto"/>
            <w:left w:val="none" w:sz="0" w:space="0" w:color="auto"/>
            <w:bottom w:val="none" w:sz="0" w:space="0" w:color="auto"/>
            <w:right w:val="none" w:sz="0" w:space="0" w:color="auto"/>
          </w:divBdr>
          <w:divsChild>
            <w:div w:id="1079713296">
              <w:marLeft w:val="0"/>
              <w:marRight w:val="0"/>
              <w:marTop w:val="0"/>
              <w:marBottom w:val="0"/>
              <w:divBdr>
                <w:top w:val="none" w:sz="0" w:space="0" w:color="auto"/>
                <w:left w:val="none" w:sz="0" w:space="0" w:color="auto"/>
                <w:bottom w:val="none" w:sz="0" w:space="0" w:color="auto"/>
                <w:right w:val="none" w:sz="0" w:space="0" w:color="auto"/>
              </w:divBdr>
            </w:div>
          </w:divsChild>
        </w:div>
        <w:div w:id="1673482497">
          <w:marLeft w:val="0"/>
          <w:marRight w:val="0"/>
          <w:marTop w:val="0"/>
          <w:marBottom w:val="0"/>
          <w:divBdr>
            <w:top w:val="none" w:sz="0" w:space="0" w:color="auto"/>
            <w:left w:val="none" w:sz="0" w:space="0" w:color="auto"/>
            <w:bottom w:val="none" w:sz="0" w:space="0" w:color="auto"/>
            <w:right w:val="none" w:sz="0" w:space="0" w:color="auto"/>
          </w:divBdr>
          <w:divsChild>
            <w:div w:id="440877306">
              <w:marLeft w:val="0"/>
              <w:marRight w:val="0"/>
              <w:marTop w:val="0"/>
              <w:marBottom w:val="0"/>
              <w:divBdr>
                <w:top w:val="none" w:sz="0" w:space="0" w:color="auto"/>
                <w:left w:val="none" w:sz="0" w:space="0" w:color="auto"/>
                <w:bottom w:val="none" w:sz="0" w:space="0" w:color="auto"/>
                <w:right w:val="none" w:sz="0" w:space="0" w:color="auto"/>
              </w:divBdr>
            </w:div>
          </w:divsChild>
        </w:div>
        <w:div w:id="1677339884">
          <w:marLeft w:val="0"/>
          <w:marRight w:val="0"/>
          <w:marTop w:val="0"/>
          <w:marBottom w:val="0"/>
          <w:divBdr>
            <w:top w:val="none" w:sz="0" w:space="0" w:color="auto"/>
            <w:left w:val="none" w:sz="0" w:space="0" w:color="auto"/>
            <w:bottom w:val="none" w:sz="0" w:space="0" w:color="auto"/>
            <w:right w:val="none" w:sz="0" w:space="0" w:color="auto"/>
          </w:divBdr>
          <w:divsChild>
            <w:div w:id="1537232300">
              <w:marLeft w:val="0"/>
              <w:marRight w:val="0"/>
              <w:marTop w:val="0"/>
              <w:marBottom w:val="0"/>
              <w:divBdr>
                <w:top w:val="none" w:sz="0" w:space="0" w:color="auto"/>
                <w:left w:val="none" w:sz="0" w:space="0" w:color="auto"/>
                <w:bottom w:val="none" w:sz="0" w:space="0" w:color="auto"/>
                <w:right w:val="none" w:sz="0" w:space="0" w:color="auto"/>
              </w:divBdr>
            </w:div>
          </w:divsChild>
        </w:div>
        <w:div w:id="1695417706">
          <w:marLeft w:val="0"/>
          <w:marRight w:val="0"/>
          <w:marTop w:val="0"/>
          <w:marBottom w:val="0"/>
          <w:divBdr>
            <w:top w:val="none" w:sz="0" w:space="0" w:color="auto"/>
            <w:left w:val="none" w:sz="0" w:space="0" w:color="auto"/>
            <w:bottom w:val="none" w:sz="0" w:space="0" w:color="auto"/>
            <w:right w:val="none" w:sz="0" w:space="0" w:color="auto"/>
          </w:divBdr>
          <w:divsChild>
            <w:div w:id="1645040605">
              <w:marLeft w:val="0"/>
              <w:marRight w:val="0"/>
              <w:marTop w:val="0"/>
              <w:marBottom w:val="0"/>
              <w:divBdr>
                <w:top w:val="none" w:sz="0" w:space="0" w:color="auto"/>
                <w:left w:val="none" w:sz="0" w:space="0" w:color="auto"/>
                <w:bottom w:val="none" w:sz="0" w:space="0" w:color="auto"/>
                <w:right w:val="none" w:sz="0" w:space="0" w:color="auto"/>
              </w:divBdr>
            </w:div>
          </w:divsChild>
        </w:div>
        <w:div w:id="1731927074">
          <w:marLeft w:val="0"/>
          <w:marRight w:val="0"/>
          <w:marTop w:val="0"/>
          <w:marBottom w:val="0"/>
          <w:divBdr>
            <w:top w:val="none" w:sz="0" w:space="0" w:color="auto"/>
            <w:left w:val="none" w:sz="0" w:space="0" w:color="auto"/>
            <w:bottom w:val="none" w:sz="0" w:space="0" w:color="auto"/>
            <w:right w:val="none" w:sz="0" w:space="0" w:color="auto"/>
          </w:divBdr>
          <w:divsChild>
            <w:div w:id="512457973">
              <w:marLeft w:val="0"/>
              <w:marRight w:val="0"/>
              <w:marTop w:val="0"/>
              <w:marBottom w:val="0"/>
              <w:divBdr>
                <w:top w:val="none" w:sz="0" w:space="0" w:color="auto"/>
                <w:left w:val="none" w:sz="0" w:space="0" w:color="auto"/>
                <w:bottom w:val="none" w:sz="0" w:space="0" w:color="auto"/>
                <w:right w:val="none" w:sz="0" w:space="0" w:color="auto"/>
              </w:divBdr>
            </w:div>
          </w:divsChild>
        </w:div>
        <w:div w:id="1732117491">
          <w:marLeft w:val="0"/>
          <w:marRight w:val="0"/>
          <w:marTop w:val="0"/>
          <w:marBottom w:val="0"/>
          <w:divBdr>
            <w:top w:val="none" w:sz="0" w:space="0" w:color="auto"/>
            <w:left w:val="none" w:sz="0" w:space="0" w:color="auto"/>
            <w:bottom w:val="none" w:sz="0" w:space="0" w:color="auto"/>
            <w:right w:val="none" w:sz="0" w:space="0" w:color="auto"/>
          </w:divBdr>
          <w:divsChild>
            <w:div w:id="21174900">
              <w:marLeft w:val="0"/>
              <w:marRight w:val="0"/>
              <w:marTop w:val="0"/>
              <w:marBottom w:val="0"/>
              <w:divBdr>
                <w:top w:val="none" w:sz="0" w:space="0" w:color="auto"/>
                <w:left w:val="none" w:sz="0" w:space="0" w:color="auto"/>
                <w:bottom w:val="none" w:sz="0" w:space="0" w:color="auto"/>
                <w:right w:val="none" w:sz="0" w:space="0" w:color="auto"/>
              </w:divBdr>
            </w:div>
          </w:divsChild>
        </w:div>
        <w:div w:id="1758092318">
          <w:marLeft w:val="0"/>
          <w:marRight w:val="0"/>
          <w:marTop w:val="0"/>
          <w:marBottom w:val="0"/>
          <w:divBdr>
            <w:top w:val="none" w:sz="0" w:space="0" w:color="auto"/>
            <w:left w:val="none" w:sz="0" w:space="0" w:color="auto"/>
            <w:bottom w:val="none" w:sz="0" w:space="0" w:color="auto"/>
            <w:right w:val="none" w:sz="0" w:space="0" w:color="auto"/>
          </w:divBdr>
          <w:divsChild>
            <w:div w:id="219486346">
              <w:marLeft w:val="0"/>
              <w:marRight w:val="0"/>
              <w:marTop w:val="0"/>
              <w:marBottom w:val="0"/>
              <w:divBdr>
                <w:top w:val="none" w:sz="0" w:space="0" w:color="auto"/>
                <w:left w:val="none" w:sz="0" w:space="0" w:color="auto"/>
                <w:bottom w:val="none" w:sz="0" w:space="0" w:color="auto"/>
                <w:right w:val="none" w:sz="0" w:space="0" w:color="auto"/>
              </w:divBdr>
            </w:div>
          </w:divsChild>
        </w:div>
        <w:div w:id="1760566533">
          <w:marLeft w:val="0"/>
          <w:marRight w:val="0"/>
          <w:marTop w:val="0"/>
          <w:marBottom w:val="0"/>
          <w:divBdr>
            <w:top w:val="none" w:sz="0" w:space="0" w:color="auto"/>
            <w:left w:val="none" w:sz="0" w:space="0" w:color="auto"/>
            <w:bottom w:val="none" w:sz="0" w:space="0" w:color="auto"/>
            <w:right w:val="none" w:sz="0" w:space="0" w:color="auto"/>
          </w:divBdr>
          <w:divsChild>
            <w:div w:id="483621105">
              <w:marLeft w:val="0"/>
              <w:marRight w:val="0"/>
              <w:marTop w:val="0"/>
              <w:marBottom w:val="0"/>
              <w:divBdr>
                <w:top w:val="none" w:sz="0" w:space="0" w:color="auto"/>
                <w:left w:val="none" w:sz="0" w:space="0" w:color="auto"/>
                <w:bottom w:val="none" w:sz="0" w:space="0" w:color="auto"/>
                <w:right w:val="none" w:sz="0" w:space="0" w:color="auto"/>
              </w:divBdr>
            </w:div>
          </w:divsChild>
        </w:div>
        <w:div w:id="1764910591">
          <w:marLeft w:val="0"/>
          <w:marRight w:val="0"/>
          <w:marTop w:val="0"/>
          <w:marBottom w:val="0"/>
          <w:divBdr>
            <w:top w:val="none" w:sz="0" w:space="0" w:color="auto"/>
            <w:left w:val="none" w:sz="0" w:space="0" w:color="auto"/>
            <w:bottom w:val="none" w:sz="0" w:space="0" w:color="auto"/>
            <w:right w:val="none" w:sz="0" w:space="0" w:color="auto"/>
          </w:divBdr>
          <w:divsChild>
            <w:div w:id="268391459">
              <w:marLeft w:val="0"/>
              <w:marRight w:val="0"/>
              <w:marTop w:val="0"/>
              <w:marBottom w:val="0"/>
              <w:divBdr>
                <w:top w:val="none" w:sz="0" w:space="0" w:color="auto"/>
                <w:left w:val="none" w:sz="0" w:space="0" w:color="auto"/>
                <w:bottom w:val="none" w:sz="0" w:space="0" w:color="auto"/>
                <w:right w:val="none" w:sz="0" w:space="0" w:color="auto"/>
              </w:divBdr>
            </w:div>
          </w:divsChild>
        </w:div>
        <w:div w:id="1776093264">
          <w:marLeft w:val="0"/>
          <w:marRight w:val="0"/>
          <w:marTop w:val="0"/>
          <w:marBottom w:val="0"/>
          <w:divBdr>
            <w:top w:val="none" w:sz="0" w:space="0" w:color="auto"/>
            <w:left w:val="none" w:sz="0" w:space="0" w:color="auto"/>
            <w:bottom w:val="none" w:sz="0" w:space="0" w:color="auto"/>
            <w:right w:val="none" w:sz="0" w:space="0" w:color="auto"/>
          </w:divBdr>
          <w:divsChild>
            <w:div w:id="1952321977">
              <w:marLeft w:val="0"/>
              <w:marRight w:val="0"/>
              <w:marTop w:val="0"/>
              <w:marBottom w:val="0"/>
              <w:divBdr>
                <w:top w:val="none" w:sz="0" w:space="0" w:color="auto"/>
                <w:left w:val="none" w:sz="0" w:space="0" w:color="auto"/>
                <w:bottom w:val="none" w:sz="0" w:space="0" w:color="auto"/>
                <w:right w:val="none" w:sz="0" w:space="0" w:color="auto"/>
              </w:divBdr>
            </w:div>
          </w:divsChild>
        </w:div>
        <w:div w:id="1779836110">
          <w:marLeft w:val="0"/>
          <w:marRight w:val="0"/>
          <w:marTop w:val="0"/>
          <w:marBottom w:val="0"/>
          <w:divBdr>
            <w:top w:val="none" w:sz="0" w:space="0" w:color="auto"/>
            <w:left w:val="none" w:sz="0" w:space="0" w:color="auto"/>
            <w:bottom w:val="none" w:sz="0" w:space="0" w:color="auto"/>
            <w:right w:val="none" w:sz="0" w:space="0" w:color="auto"/>
          </w:divBdr>
          <w:divsChild>
            <w:div w:id="442264666">
              <w:marLeft w:val="0"/>
              <w:marRight w:val="0"/>
              <w:marTop w:val="0"/>
              <w:marBottom w:val="0"/>
              <w:divBdr>
                <w:top w:val="none" w:sz="0" w:space="0" w:color="auto"/>
                <w:left w:val="none" w:sz="0" w:space="0" w:color="auto"/>
                <w:bottom w:val="none" w:sz="0" w:space="0" w:color="auto"/>
                <w:right w:val="none" w:sz="0" w:space="0" w:color="auto"/>
              </w:divBdr>
            </w:div>
          </w:divsChild>
        </w:div>
        <w:div w:id="1780443000">
          <w:marLeft w:val="0"/>
          <w:marRight w:val="0"/>
          <w:marTop w:val="0"/>
          <w:marBottom w:val="0"/>
          <w:divBdr>
            <w:top w:val="none" w:sz="0" w:space="0" w:color="auto"/>
            <w:left w:val="none" w:sz="0" w:space="0" w:color="auto"/>
            <w:bottom w:val="none" w:sz="0" w:space="0" w:color="auto"/>
            <w:right w:val="none" w:sz="0" w:space="0" w:color="auto"/>
          </w:divBdr>
          <w:divsChild>
            <w:div w:id="2065135100">
              <w:marLeft w:val="0"/>
              <w:marRight w:val="0"/>
              <w:marTop w:val="0"/>
              <w:marBottom w:val="0"/>
              <w:divBdr>
                <w:top w:val="none" w:sz="0" w:space="0" w:color="auto"/>
                <w:left w:val="none" w:sz="0" w:space="0" w:color="auto"/>
                <w:bottom w:val="none" w:sz="0" w:space="0" w:color="auto"/>
                <w:right w:val="none" w:sz="0" w:space="0" w:color="auto"/>
              </w:divBdr>
            </w:div>
          </w:divsChild>
        </w:div>
        <w:div w:id="1800302399">
          <w:marLeft w:val="0"/>
          <w:marRight w:val="0"/>
          <w:marTop w:val="0"/>
          <w:marBottom w:val="0"/>
          <w:divBdr>
            <w:top w:val="none" w:sz="0" w:space="0" w:color="auto"/>
            <w:left w:val="none" w:sz="0" w:space="0" w:color="auto"/>
            <w:bottom w:val="none" w:sz="0" w:space="0" w:color="auto"/>
            <w:right w:val="none" w:sz="0" w:space="0" w:color="auto"/>
          </w:divBdr>
          <w:divsChild>
            <w:div w:id="577402794">
              <w:marLeft w:val="0"/>
              <w:marRight w:val="0"/>
              <w:marTop w:val="0"/>
              <w:marBottom w:val="0"/>
              <w:divBdr>
                <w:top w:val="none" w:sz="0" w:space="0" w:color="auto"/>
                <w:left w:val="none" w:sz="0" w:space="0" w:color="auto"/>
                <w:bottom w:val="none" w:sz="0" w:space="0" w:color="auto"/>
                <w:right w:val="none" w:sz="0" w:space="0" w:color="auto"/>
              </w:divBdr>
            </w:div>
          </w:divsChild>
        </w:div>
        <w:div w:id="1808011707">
          <w:marLeft w:val="0"/>
          <w:marRight w:val="0"/>
          <w:marTop w:val="0"/>
          <w:marBottom w:val="0"/>
          <w:divBdr>
            <w:top w:val="none" w:sz="0" w:space="0" w:color="auto"/>
            <w:left w:val="none" w:sz="0" w:space="0" w:color="auto"/>
            <w:bottom w:val="none" w:sz="0" w:space="0" w:color="auto"/>
            <w:right w:val="none" w:sz="0" w:space="0" w:color="auto"/>
          </w:divBdr>
          <w:divsChild>
            <w:div w:id="2005161909">
              <w:marLeft w:val="0"/>
              <w:marRight w:val="0"/>
              <w:marTop w:val="0"/>
              <w:marBottom w:val="0"/>
              <w:divBdr>
                <w:top w:val="none" w:sz="0" w:space="0" w:color="auto"/>
                <w:left w:val="none" w:sz="0" w:space="0" w:color="auto"/>
                <w:bottom w:val="none" w:sz="0" w:space="0" w:color="auto"/>
                <w:right w:val="none" w:sz="0" w:space="0" w:color="auto"/>
              </w:divBdr>
            </w:div>
          </w:divsChild>
        </w:div>
        <w:div w:id="1829402736">
          <w:marLeft w:val="0"/>
          <w:marRight w:val="0"/>
          <w:marTop w:val="0"/>
          <w:marBottom w:val="0"/>
          <w:divBdr>
            <w:top w:val="none" w:sz="0" w:space="0" w:color="auto"/>
            <w:left w:val="none" w:sz="0" w:space="0" w:color="auto"/>
            <w:bottom w:val="none" w:sz="0" w:space="0" w:color="auto"/>
            <w:right w:val="none" w:sz="0" w:space="0" w:color="auto"/>
          </w:divBdr>
          <w:divsChild>
            <w:div w:id="1069569823">
              <w:marLeft w:val="0"/>
              <w:marRight w:val="0"/>
              <w:marTop w:val="0"/>
              <w:marBottom w:val="0"/>
              <w:divBdr>
                <w:top w:val="none" w:sz="0" w:space="0" w:color="auto"/>
                <w:left w:val="none" w:sz="0" w:space="0" w:color="auto"/>
                <w:bottom w:val="none" w:sz="0" w:space="0" w:color="auto"/>
                <w:right w:val="none" w:sz="0" w:space="0" w:color="auto"/>
              </w:divBdr>
            </w:div>
          </w:divsChild>
        </w:div>
        <w:div w:id="1837111282">
          <w:marLeft w:val="0"/>
          <w:marRight w:val="0"/>
          <w:marTop w:val="0"/>
          <w:marBottom w:val="0"/>
          <w:divBdr>
            <w:top w:val="none" w:sz="0" w:space="0" w:color="auto"/>
            <w:left w:val="none" w:sz="0" w:space="0" w:color="auto"/>
            <w:bottom w:val="none" w:sz="0" w:space="0" w:color="auto"/>
            <w:right w:val="none" w:sz="0" w:space="0" w:color="auto"/>
          </w:divBdr>
          <w:divsChild>
            <w:div w:id="224222864">
              <w:marLeft w:val="0"/>
              <w:marRight w:val="0"/>
              <w:marTop w:val="0"/>
              <w:marBottom w:val="0"/>
              <w:divBdr>
                <w:top w:val="none" w:sz="0" w:space="0" w:color="auto"/>
                <w:left w:val="none" w:sz="0" w:space="0" w:color="auto"/>
                <w:bottom w:val="none" w:sz="0" w:space="0" w:color="auto"/>
                <w:right w:val="none" w:sz="0" w:space="0" w:color="auto"/>
              </w:divBdr>
            </w:div>
          </w:divsChild>
        </w:div>
        <w:div w:id="1839271260">
          <w:marLeft w:val="0"/>
          <w:marRight w:val="0"/>
          <w:marTop w:val="0"/>
          <w:marBottom w:val="0"/>
          <w:divBdr>
            <w:top w:val="none" w:sz="0" w:space="0" w:color="auto"/>
            <w:left w:val="none" w:sz="0" w:space="0" w:color="auto"/>
            <w:bottom w:val="none" w:sz="0" w:space="0" w:color="auto"/>
            <w:right w:val="none" w:sz="0" w:space="0" w:color="auto"/>
          </w:divBdr>
          <w:divsChild>
            <w:div w:id="292055424">
              <w:marLeft w:val="0"/>
              <w:marRight w:val="0"/>
              <w:marTop w:val="0"/>
              <w:marBottom w:val="0"/>
              <w:divBdr>
                <w:top w:val="none" w:sz="0" w:space="0" w:color="auto"/>
                <w:left w:val="none" w:sz="0" w:space="0" w:color="auto"/>
                <w:bottom w:val="none" w:sz="0" w:space="0" w:color="auto"/>
                <w:right w:val="none" w:sz="0" w:space="0" w:color="auto"/>
              </w:divBdr>
            </w:div>
          </w:divsChild>
        </w:div>
        <w:div w:id="1841895966">
          <w:marLeft w:val="0"/>
          <w:marRight w:val="0"/>
          <w:marTop w:val="0"/>
          <w:marBottom w:val="0"/>
          <w:divBdr>
            <w:top w:val="none" w:sz="0" w:space="0" w:color="auto"/>
            <w:left w:val="none" w:sz="0" w:space="0" w:color="auto"/>
            <w:bottom w:val="none" w:sz="0" w:space="0" w:color="auto"/>
            <w:right w:val="none" w:sz="0" w:space="0" w:color="auto"/>
          </w:divBdr>
          <w:divsChild>
            <w:div w:id="1276210904">
              <w:marLeft w:val="0"/>
              <w:marRight w:val="0"/>
              <w:marTop w:val="0"/>
              <w:marBottom w:val="0"/>
              <w:divBdr>
                <w:top w:val="none" w:sz="0" w:space="0" w:color="auto"/>
                <w:left w:val="none" w:sz="0" w:space="0" w:color="auto"/>
                <w:bottom w:val="none" w:sz="0" w:space="0" w:color="auto"/>
                <w:right w:val="none" w:sz="0" w:space="0" w:color="auto"/>
              </w:divBdr>
            </w:div>
          </w:divsChild>
        </w:div>
        <w:div w:id="1845431536">
          <w:marLeft w:val="0"/>
          <w:marRight w:val="0"/>
          <w:marTop w:val="0"/>
          <w:marBottom w:val="0"/>
          <w:divBdr>
            <w:top w:val="none" w:sz="0" w:space="0" w:color="auto"/>
            <w:left w:val="none" w:sz="0" w:space="0" w:color="auto"/>
            <w:bottom w:val="none" w:sz="0" w:space="0" w:color="auto"/>
            <w:right w:val="none" w:sz="0" w:space="0" w:color="auto"/>
          </w:divBdr>
          <w:divsChild>
            <w:div w:id="1575897303">
              <w:marLeft w:val="0"/>
              <w:marRight w:val="0"/>
              <w:marTop w:val="0"/>
              <w:marBottom w:val="0"/>
              <w:divBdr>
                <w:top w:val="none" w:sz="0" w:space="0" w:color="auto"/>
                <w:left w:val="none" w:sz="0" w:space="0" w:color="auto"/>
                <w:bottom w:val="none" w:sz="0" w:space="0" w:color="auto"/>
                <w:right w:val="none" w:sz="0" w:space="0" w:color="auto"/>
              </w:divBdr>
            </w:div>
          </w:divsChild>
        </w:div>
        <w:div w:id="1857764500">
          <w:marLeft w:val="0"/>
          <w:marRight w:val="0"/>
          <w:marTop w:val="0"/>
          <w:marBottom w:val="0"/>
          <w:divBdr>
            <w:top w:val="none" w:sz="0" w:space="0" w:color="auto"/>
            <w:left w:val="none" w:sz="0" w:space="0" w:color="auto"/>
            <w:bottom w:val="none" w:sz="0" w:space="0" w:color="auto"/>
            <w:right w:val="none" w:sz="0" w:space="0" w:color="auto"/>
          </w:divBdr>
          <w:divsChild>
            <w:div w:id="244386706">
              <w:marLeft w:val="0"/>
              <w:marRight w:val="0"/>
              <w:marTop w:val="0"/>
              <w:marBottom w:val="0"/>
              <w:divBdr>
                <w:top w:val="none" w:sz="0" w:space="0" w:color="auto"/>
                <w:left w:val="none" w:sz="0" w:space="0" w:color="auto"/>
                <w:bottom w:val="none" w:sz="0" w:space="0" w:color="auto"/>
                <w:right w:val="none" w:sz="0" w:space="0" w:color="auto"/>
              </w:divBdr>
            </w:div>
          </w:divsChild>
        </w:div>
        <w:div w:id="1867254599">
          <w:marLeft w:val="0"/>
          <w:marRight w:val="0"/>
          <w:marTop w:val="0"/>
          <w:marBottom w:val="0"/>
          <w:divBdr>
            <w:top w:val="none" w:sz="0" w:space="0" w:color="auto"/>
            <w:left w:val="none" w:sz="0" w:space="0" w:color="auto"/>
            <w:bottom w:val="none" w:sz="0" w:space="0" w:color="auto"/>
            <w:right w:val="none" w:sz="0" w:space="0" w:color="auto"/>
          </w:divBdr>
          <w:divsChild>
            <w:div w:id="2139836298">
              <w:marLeft w:val="0"/>
              <w:marRight w:val="0"/>
              <w:marTop w:val="0"/>
              <w:marBottom w:val="0"/>
              <w:divBdr>
                <w:top w:val="none" w:sz="0" w:space="0" w:color="auto"/>
                <w:left w:val="none" w:sz="0" w:space="0" w:color="auto"/>
                <w:bottom w:val="none" w:sz="0" w:space="0" w:color="auto"/>
                <w:right w:val="none" w:sz="0" w:space="0" w:color="auto"/>
              </w:divBdr>
            </w:div>
          </w:divsChild>
        </w:div>
        <w:div w:id="1874995917">
          <w:marLeft w:val="0"/>
          <w:marRight w:val="0"/>
          <w:marTop w:val="0"/>
          <w:marBottom w:val="0"/>
          <w:divBdr>
            <w:top w:val="none" w:sz="0" w:space="0" w:color="auto"/>
            <w:left w:val="none" w:sz="0" w:space="0" w:color="auto"/>
            <w:bottom w:val="none" w:sz="0" w:space="0" w:color="auto"/>
            <w:right w:val="none" w:sz="0" w:space="0" w:color="auto"/>
          </w:divBdr>
          <w:divsChild>
            <w:div w:id="491798018">
              <w:marLeft w:val="0"/>
              <w:marRight w:val="0"/>
              <w:marTop w:val="0"/>
              <w:marBottom w:val="0"/>
              <w:divBdr>
                <w:top w:val="none" w:sz="0" w:space="0" w:color="auto"/>
                <w:left w:val="none" w:sz="0" w:space="0" w:color="auto"/>
                <w:bottom w:val="none" w:sz="0" w:space="0" w:color="auto"/>
                <w:right w:val="none" w:sz="0" w:space="0" w:color="auto"/>
              </w:divBdr>
            </w:div>
          </w:divsChild>
        </w:div>
        <w:div w:id="1906142210">
          <w:marLeft w:val="0"/>
          <w:marRight w:val="0"/>
          <w:marTop w:val="0"/>
          <w:marBottom w:val="0"/>
          <w:divBdr>
            <w:top w:val="none" w:sz="0" w:space="0" w:color="auto"/>
            <w:left w:val="none" w:sz="0" w:space="0" w:color="auto"/>
            <w:bottom w:val="none" w:sz="0" w:space="0" w:color="auto"/>
            <w:right w:val="none" w:sz="0" w:space="0" w:color="auto"/>
          </w:divBdr>
          <w:divsChild>
            <w:div w:id="1456564081">
              <w:marLeft w:val="0"/>
              <w:marRight w:val="0"/>
              <w:marTop w:val="0"/>
              <w:marBottom w:val="0"/>
              <w:divBdr>
                <w:top w:val="none" w:sz="0" w:space="0" w:color="auto"/>
                <w:left w:val="none" w:sz="0" w:space="0" w:color="auto"/>
                <w:bottom w:val="none" w:sz="0" w:space="0" w:color="auto"/>
                <w:right w:val="none" w:sz="0" w:space="0" w:color="auto"/>
              </w:divBdr>
            </w:div>
          </w:divsChild>
        </w:div>
        <w:div w:id="1909488931">
          <w:marLeft w:val="0"/>
          <w:marRight w:val="0"/>
          <w:marTop w:val="0"/>
          <w:marBottom w:val="0"/>
          <w:divBdr>
            <w:top w:val="none" w:sz="0" w:space="0" w:color="auto"/>
            <w:left w:val="none" w:sz="0" w:space="0" w:color="auto"/>
            <w:bottom w:val="none" w:sz="0" w:space="0" w:color="auto"/>
            <w:right w:val="none" w:sz="0" w:space="0" w:color="auto"/>
          </w:divBdr>
          <w:divsChild>
            <w:div w:id="463039058">
              <w:marLeft w:val="0"/>
              <w:marRight w:val="0"/>
              <w:marTop w:val="0"/>
              <w:marBottom w:val="0"/>
              <w:divBdr>
                <w:top w:val="none" w:sz="0" w:space="0" w:color="auto"/>
                <w:left w:val="none" w:sz="0" w:space="0" w:color="auto"/>
                <w:bottom w:val="none" w:sz="0" w:space="0" w:color="auto"/>
                <w:right w:val="none" w:sz="0" w:space="0" w:color="auto"/>
              </w:divBdr>
            </w:div>
          </w:divsChild>
        </w:div>
        <w:div w:id="1928268355">
          <w:marLeft w:val="0"/>
          <w:marRight w:val="0"/>
          <w:marTop w:val="0"/>
          <w:marBottom w:val="0"/>
          <w:divBdr>
            <w:top w:val="none" w:sz="0" w:space="0" w:color="auto"/>
            <w:left w:val="none" w:sz="0" w:space="0" w:color="auto"/>
            <w:bottom w:val="none" w:sz="0" w:space="0" w:color="auto"/>
            <w:right w:val="none" w:sz="0" w:space="0" w:color="auto"/>
          </w:divBdr>
          <w:divsChild>
            <w:div w:id="1696347519">
              <w:marLeft w:val="0"/>
              <w:marRight w:val="0"/>
              <w:marTop w:val="0"/>
              <w:marBottom w:val="0"/>
              <w:divBdr>
                <w:top w:val="none" w:sz="0" w:space="0" w:color="auto"/>
                <w:left w:val="none" w:sz="0" w:space="0" w:color="auto"/>
                <w:bottom w:val="none" w:sz="0" w:space="0" w:color="auto"/>
                <w:right w:val="none" w:sz="0" w:space="0" w:color="auto"/>
              </w:divBdr>
            </w:div>
          </w:divsChild>
        </w:div>
        <w:div w:id="1936160552">
          <w:marLeft w:val="0"/>
          <w:marRight w:val="0"/>
          <w:marTop w:val="0"/>
          <w:marBottom w:val="0"/>
          <w:divBdr>
            <w:top w:val="none" w:sz="0" w:space="0" w:color="auto"/>
            <w:left w:val="none" w:sz="0" w:space="0" w:color="auto"/>
            <w:bottom w:val="none" w:sz="0" w:space="0" w:color="auto"/>
            <w:right w:val="none" w:sz="0" w:space="0" w:color="auto"/>
          </w:divBdr>
          <w:divsChild>
            <w:div w:id="152183259">
              <w:marLeft w:val="0"/>
              <w:marRight w:val="0"/>
              <w:marTop w:val="0"/>
              <w:marBottom w:val="0"/>
              <w:divBdr>
                <w:top w:val="none" w:sz="0" w:space="0" w:color="auto"/>
                <w:left w:val="none" w:sz="0" w:space="0" w:color="auto"/>
                <w:bottom w:val="none" w:sz="0" w:space="0" w:color="auto"/>
                <w:right w:val="none" w:sz="0" w:space="0" w:color="auto"/>
              </w:divBdr>
            </w:div>
          </w:divsChild>
        </w:div>
        <w:div w:id="1943301272">
          <w:marLeft w:val="0"/>
          <w:marRight w:val="0"/>
          <w:marTop w:val="0"/>
          <w:marBottom w:val="0"/>
          <w:divBdr>
            <w:top w:val="none" w:sz="0" w:space="0" w:color="auto"/>
            <w:left w:val="none" w:sz="0" w:space="0" w:color="auto"/>
            <w:bottom w:val="none" w:sz="0" w:space="0" w:color="auto"/>
            <w:right w:val="none" w:sz="0" w:space="0" w:color="auto"/>
          </w:divBdr>
          <w:divsChild>
            <w:div w:id="653141761">
              <w:marLeft w:val="0"/>
              <w:marRight w:val="0"/>
              <w:marTop w:val="0"/>
              <w:marBottom w:val="0"/>
              <w:divBdr>
                <w:top w:val="none" w:sz="0" w:space="0" w:color="auto"/>
                <w:left w:val="none" w:sz="0" w:space="0" w:color="auto"/>
                <w:bottom w:val="none" w:sz="0" w:space="0" w:color="auto"/>
                <w:right w:val="none" w:sz="0" w:space="0" w:color="auto"/>
              </w:divBdr>
            </w:div>
          </w:divsChild>
        </w:div>
        <w:div w:id="1955092591">
          <w:marLeft w:val="0"/>
          <w:marRight w:val="0"/>
          <w:marTop w:val="0"/>
          <w:marBottom w:val="0"/>
          <w:divBdr>
            <w:top w:val="none" w:sz="0" w:space="0" w:color="auto"/>
            <w:left w:val="none" w:sz="0" w:space="0" w:color="auto"/>
            <w:bottom w:val="none" w:sz="0" w:space="0" w:color="auto"/>
            <w:right w:val="none" w:sz="0" w:space="0" w:color="auto"/>
          </w:divBdr>
          <w:divsChild>
            <w:div w:id="875047398">
              <w:marLeft w:val="0"/>
              <w:marRight w:val="0"/>
              <w:marTop w:val="0"/>
              <w:marBottom w:val="0"/>
              <w:divBdr>
                <w:top w:val="none" w:sz="0" w:space="0" w:color="auto"/>
                <w:left w:val="none" w:sz="0" w:space="0" w:color="auto"/>
                <w:bottom w:val="none" w:sz="0" w:space="0" w:color="auto"/>
                <w:right w:val="none" w:sz="0" w:space="0" w:color="auto"/>
              </w:divBdr>
            </w:div>
          </w:divsChild>
        </w:div>
        <w:div w:id="1961523696">
          <w:marLeft w:val="0"/>
          <w:marRight w:val="0"/>
          <w:marTop w:val="0"/>
          <w:marBottom w:val="0"/>
          <w:divBdr>
            <w:top w:val="none" w:sz="0" w:space="0" w:color="auto"/>
            <w:left w:val="none" w:sz="0" w:space="0" w:color="auto"/>
            <w:bottom w:val="none" w:sz="0" w:space="0" w:color="auto"/>
            <w:right w:val="none" w:sz="0" w:space="0" w:color="auto"/>
          </w:divBdr>
          <w:divsChild>
            <w:div w:id="424572756">
              <w:marLeft w:val="0"/>
              <w:marRight w:val="0"/>
              <w:marTop w:val="0"/>
              <w:marBottom w:val="0"/>
              <w:divBdr>
                <w:top w:val="none" w:sz="0" w:space="0" w:color="auto"/>
                <w:left w:val="none" w:sz="0" w:space="0" w:color="auto"/>
                <w:bottom w:val="none" w:sz="0" w:space="0" w:color="auto"/>
                <w:right w:val="none" w:sz="0" w:space="0" w:color="auto"/>
              </w:divBdr>
            </w:div>
          </w:divsChild>
        </w:div>
        <w:div w:id="1964850175">
          <w:marLeft w:val="0"/>
          <w:marRight w:val="0"/>
          <w:marTop w:val="0"/>
          <w:marBottom w:val="0"/>
          <w:divBdr>
            <w:top w:val="none" w:sz="0" w:space="0" w:color="auto"/>
            <w:left w:val="none" w:sz="0" w:space="0" w:color="auto"/>
            <w:bottom w:val="none" w:sz="0" w:space="0" w:color="auto"/>
            <w:right w:val="none" w:sz="0" w:space="0" w:color="auto"/>
          </w:divBdr>
          <w:divsChild>
            <w:div w:id="1823277923">
              <w:marLeft w:val="0"/>
              <w:marRight w:val="0"/>
              <w:marTop w:val="0"/>
              <w:marBottom w:val="0"/>
              <w:divBdr>
                <w:top w:val="none" w:sz="0" w:space="0" w:color="auto"/>
                <w:left w:val="none" w:sz="0" w:space="0" w:color="auto"/>
                <w:bottom w:val="none" w:sz="0" w:space="0" w:color="auto"/>
                <w:right w:val="none" w:sz="0" w:space="0" w:color="auto"/>
              </w:divBdr>
            </w:div>
          </w:divsChild>
        </w:div>
        <w:div w:id="1991862143">
          <w:marLeft w:val="0"/>
          <w:marRight w:val="0"/>
          <w:marTop w:val="0"/>
          <w:marBottom w:val="0"/>
          <w:divBdr>
            <w:top w:val="none" w:sz="0" w:space="0" w:color="auto"/>
            <w:left w:val="none" w:sz="0" w:space="0" w:color="auto"/>
            <w:bottom w:val="none" w:sz="0" w:space="0" w:color="auto"/>
            <w:right w:val="none" w:sz="0" w:space="0" w:color="auto"/>
          </w:divBdr>
          <w:divsChild>
            <w:div w:id="1722748565">
              <w:marLeft w:val="0"/>
              <w:marRight w:val="0"/>
              <w:marTop w:val="0"/>
              <w:marBottom w:val="0"/>
              <w:divBdr>
                <w:top w:val="none" w:sz="0" w:space="0" w:color="auto"/>
                <w:left w:val="none" w:sz="0" w:space="0" w:color="auto"/>
                <w:bottom w:val="none" w:sz="0" w:space="0" w:color="auto"/>
                <w:right w:val="none" w:sz="0" w:space="0" w:color="auto"/>
              </w:divBdr>
            </w:div>
          </w:divsChild>
        </w:div>
        <w:div w:id="2013943914">
          <w:marLeft w:val="0"/>
          <w:marRight w:val="0"/>
          <w:marTop w:val="0"/>
          <w:marBottom w:val="0"/>
          <w:divBdr>
            <w:top w:val="none" w:sz="0" w:space="0" w:color="auto"/>
            <w:left w:val="none" w:sz="0" w:space="0" w:color="auto"/>
            <w:bottom w:val="none" w:sz="0" w:space="0" w:color="auto"/>
            <w:right w:val="none" w:sz="0" w:space="0" w:color="auto"/>
          </w:divBdr>
          <w:divsChild>
            <w:div w:id="1103189641">
              <w:marLeft w:val="0"/>
              <w:marRight w:val="0"/>
              <w:marTop w:val="0"/>
              <w:marBottom w:val="0"/>
              <w:divBdr>
                <w:top w:val="none" w:sz="0" w:space="0" w:color="auto"/>
                <w:left w:val="none" w:sz="0" w:space="0" w:color="auto"/>
                <w:bottom w:val="none" w:sz="0" w:space="0" w:color="auto"/>
                <w:right w:val="none" w:sz="0" w:space="0" w:color="auto"/>
              </w:divBdr>
            </w:div>
          </w:divsChild>
        </w:div>
        <w:div w:id="2023900164">
          <w:marLeft w:val="0"/>
          <w:marRight w:val="0"/>
          <w:marTop w:val="0"/>
          <w:marBottom w:val="0"/>
          <w:divBdr>
            <w:top w:val="none" w:sz="0" w:space="0" w:color="auto"/>
            <w:left w:val="none" w:sz="0" w:space="0" w:color="auto"/>
            <w:bottom w:val="none" w:sz="0" w:space="0" w:color="auto"/>
            <w:right w:val="none" w:sz="0" w:space="0" w:color="auto"/>
          </w:divBdr>
          <w:divsChild>
            <w:div w:id="430247326">
              <w:marLeft w:val="0"/>
              <w:marRight w:val="0"/>
              <w:marTop w:val="0"/>
              <w:marBottom w:val="0"/>
              <w:divBdr>
                <w:top w:val="none" w:sz="0" w:space="0" w:color="auto"/>
                <w:left w:val="none" w:sz="0" w:space="0" w:color="auto"/>
                <w:bottom w:val="none" w:sz="0" w:space="0" w:color="auto"/>
                <w:right w:val="none" w:sz="0" w:space="0" w:color="auto"/>
              </w:divBdr>
            </w:div>
          </w:divsChild>
        </w:div>
        <w:div w:id="2077706248">
          <w:marLeft w:val="0"/>
          <w:marRight w:val="0"/>
          <w:marTop w:val="0"/>
          <w:marBottom w:val="0"/>
          <w:divBdr>
            <w:top w:val="none" w:sz="0" w:space="0" w:color="auto"/>
            <w:left w:val="none" w:sz="0" w:space="0" w:color="auto"/>
            <w:bottom w:val="none" w:sz="0" w:space="0" w:color="auto"/>
            <w:right w:val="none" w:sz="0" w:space="0" w:color="auto"/>
          </w:divBdr>
          <w:divsChild>
            <w:div w:id="758062028">
              <w:marLeft w:val="0"/>
              <w:marRight w:val="0"/>
              <w:marTop w:val="0"/>
              <w:marBottom w:val="0"/>
              <w:divBdr>
                <w:top w:val="none" w:sz="0" w:space="0" w:color="auto"/>
                <w:left w:val="none" w:sz="0" w:space="0" w:color="auto"/>
                <w:bottom w:val="none" w:sz="0" w:space="0" w:color="auto"/>
                <w:right w:val="none" w:sz="0" w:space="0" w:color="auto"/>
              </w:divBdr>
            </w:div>
          </w:divsChild>
        </w:div>
        <w:div w:id="2093617961">
          <w:marLeft w:val="0"/>
          <w:marRight w:val="0"/>
          <w:marTop w:val="0"/>
          <w:marBottom w:val="0"/>
          <w:divBdr>
            <w:top w:val="none" w:sz="0" w:space="0" w:color="auto"/>
            <w:left w:val="none" w:sz="0" w:space="0" w:color="auto"/>
            <w:bottom w:val="none" w:sz="0" w:space="0" w:color="auto"/>
            <w:right w:val="none" w:sz="0" w:space="0" w:color="auto"/>
          </w:divBdr>
          <w:divsChild>
            <w:div w:id="2041276046">
              <w:marLeft w:val="0"/>
              <w:marRight w:val="0"/>
              <w:marTop w:val="0"/>
              <w:marBottom w:val="0"/>
              <w:divBdr>
                <w:top w:val="none" w:sz="0" w:space="0" w:color="auto"/>
                <w:left w:val="none" w:sz="0" w:space="0" w:color="auto"/>
                <w:bottom w:val="none" w:sz="0" w:space="0" w:color="auto"/>
                <w:right w:val="none" w:sz="0" w:space="0" w:color="auto"/>
              </w:divBdr>
            </w:div>
          </w:divsChild>
        </w:div>
        <w:div w:id="2118523713">
          <w:marLeft w:val="0"/>
          <w:marRight w:val="0"/>
          <w:marTop w:val="0"/>
          <w:marBottom w:val="0"/>
          <w:divBdr>
            <w:top w:val="none" w:sz="0" w:space="0" w:color="auto"/>
            <w:left w:val="none" w:sz="0" w:space="0" w:color="auto"/>
            <w:bottom w:val="none" w:sz="0" w:space="0" w:color="auto"/>
            <w:right w:val="none" w:sz="0" w:space="0" w:color="auto"/>
          </w:divBdr>
          <w:divsChild>
            <w:div w:id="1170827485">
              <w:marLeft w:val="0"/>
              <w:marRight w:val="0"/>
              <w:marTop w:val="0"/>
              <w:marBottom w:val="0"/>
              <w:divBdr>
                <w:top w:val="none" w:sz="0" w:space="0" w:color="auto"/>
                <w:left w:val="none" w:sz="0" w:space="0" w:color="auto"/>
                <w:bottom w:val="none" w:sz="0" w:space="0" w:color="auto"/>
                <w:right w:val="none" w:sz="0" w:space="0" w:color="auto"/>
              </w:divBdr>
            </w:div>
          </w:divsChild>
        </w:div>
        <w:div w:id="2143380922">
          <w:marLeft w:val="0"/>
          <w:marRight w:val="0"/>
          <w:marTop w:val="0"/>
          <w:marBottom w:val="0"/>
          <w:divBdr>
            <w:top w:val="none" w:sz="0" w:space="0" w:color="auto"/>
            <w:left w:val="none" w:sz="0" w:space="0" w:color="auto"/>
            <w:bottom w:val="none" w:sz="0" w:space="0" w:color="auto"/>
            <w:right w:val="none" w:sz="0" w:space="0" w:color="auto"/>
          </w:divBdr>
          <w:divsChild>
            <w:div w:id="185422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516">
      <w:bodyDiv w:val="1"/>
      <w:marLeft w:val="0"/>
      <w:marRight w:val="0"/>
      <w:marTop w:val="0"/>
      <w:marBottom w:val="0"/>
      <w:divBdr>
        <w:top w:val="none" w:sz="0" w:space="0" w:color="auto"/>
        <w:left w:val="none" w:sz="0" w:space="0" w:color="auto"/>
        <w:bottom w:val="none" w:sz="0" w:space="0" w:color="auto"/>
        <w:right w:val="none" w:sz="0" w:space="0" w:color="auto"/>
      </w:divBdr>
    </w:div>
    <w:div w:id="923224427">
      <w:bodyDiv w:val="1"/>
      <w:marLeft w:val="0"/>
      <w:marRight w:val="0"/>
      <w:marTop w:val="0"/>
      <w:marBottom w:val="0"/>
      <w:divBdr>
        <w:top w:val="none" w:sz="0" w:space="0" w:color="auto"/>
        <w:left w:val="none" w:sz="0" w:space="0" w:color="auto"/>
        <w:bottom w:val="none" w:sz="0" w:space="0" w:color="auto"/>
        <w:right w:val="none" w:sz="0" w:space="0" w:color="auto"/>
      </w:divBdr>
    </w:div>
    <w:div w:id="955602441">
      <w:bodyDiv w:val="1"/>
      <w:marLeft w:val="0"/>
      <w:marRight w:val="0"/>
      <w:marTop w:val="0"/>
      <w:marBottom w:val="0"/>
      <w:divBdr>
        <w:top w:val="none" w:sz="0" w:space="0" w:color="auto"/>
        <w:left w:val="none" w:sz="0" w:space="0" w:color="auto"/>
        <w:bottom w:val="none" w:sz="0" w:space="0" w:color="auto"/>
        <w:right w:val="none" w:sz="0" w:space="0" w:color="auto"/>
      </w:divBdr>
      <w:divsChild>
        <w:div w:id="197472381">
          <w:marLeft w:val="446"/>
          <w:marRight w:val="0"/>
          <w:marTop w:val="0"/>
          <w:marBottom w:val="0"/>
          <w:divBdr>
            <w:top w:val="none" w:sz="0" w:space="0" w:color="auto"/>
            <w:left w:val="none" w:sz="0" w:space="0" w:color="auto"/>
            <w:bottom w:val="none" w:sz="0" w:space="0" w:color="auto"/>
            <w:right w:val="none" w:sz="0" w:space="0" w:color="auto"/>
          </w:divBdr>
        </w:div>
      </w:divsChild>
    </w:div>
    <w:div w:id="1074619330">
      <w:bodyDiv w:val="1"/>
      <w:marLeft w:val="0"/>
      <w:marRight w:val="0"/>
      <w:marTop w:val="0"/>
      <w:marBottom w:val="0"/>
      <w:divBdr>
        <w:top w:val="none" w:sz="0" w:space="0" w:color="auto"/>
        <w:left w:val="none" w:sz="0" w:space="0" w:color="auto"/>
        <w:bottom w:val="none" w:sz="0" w:space="0" w:color="auto"/>
        <w:right w:val="none" w:sz="0" w:space="0" w:color="auto"/>
      </w:divBdr>
      <w:divsChild>
        <w:div w:id="2366595">
          <w:marLeft w:val="0"/>
          <w:marRight w:val="0"/>
          <w:marTop w:val="0"/>
          <w:marBottom w:val="0"/>
          <w:divBdr>
            <w:top w:val="none" w:sz="0" w:space="0" w:color="auto"/>
            <w:left w:val="none" w:sz="0" w:space="0" w:color="auto"/>
            <w:bottom w:val="none" w:sz="0" w:space="0" w:color="auto"/>
            <w:right w:val="none" w:sz="0" w:space="0" w:color="auto"/>
          </w:divBdr>
          <w:divsChild>
            <w:div w:id="379400252">
              <w:marLeft w:val="0"/>
              <w:marRight w:val="0"/>
              <w:marTop w:val="0"/>
              <w:marBottom w:val="0"/>
              <w:divBdr>
                <w:top w:val="none" w:sz="0" w:space="0" w:color="auto"/>
                <w:left w:val="none" w:sz="0" w:space="0" w:color="auto"/>
                <w:bottom w:val="none" w:sz="0" w:space="0" w:color="auto"/>
                <w:right w:val="none" w:sz="0" w:space="0" w:color="auto"/>
              </w:divBdr>
            </w:div>
          </w:divsChild>
        </w:div>
        <w:div w:id="74481489">
          <w:marLeft w:val="0"/>
          <w:marRight w:val="0"/>
          <w:marTop w:val="0"/>
          <w:marBottom w:val="0"/>
          <w:divBdr>
            <w:top w:val="none" w:sz="0" w:space="0" w:color="auto"/>
            <w:left w:val="none" w:sz="0" w:space="0" w:color="auto"/>
            <w:bottom w:val="none" w:sz="0" w:space="0" w:color="auto"/>
            <w:right w:val="none" w:sz="0" w:space="0" w:color="auto"/>
          </w:divBdr>
          <w:divsChild>
            <w:div w:id="1169058520">
              <w:marLeft w:val="0"/>
              <w:marRight w:val="0"/>
              <w:marTop w:val="0"/>
              <w:marBottom w:val="0"/>
              <w:divBdr>
                <w:top w:val="none" w:sz="0" w:space="0" w:color="auto"/>
                <w:left w:val="none" w:sz="0" w:space="0" w:color="auto"/>
                <w:bottom w:val="none" w:sz="0" w:space="0" w:color="auto"/>
                <w:right w:val="none" w:sz="0" w:space="0" w:color="auto"/>
              </w:divBdr>
            </w:div>
          </w:divsChild>
        </w:div>
        <w:div w:id="94639343">
          <w:marLeft w:val="0"/>
          <w:marRight w:val="0"/>
          <w:marTop w:val="0"/>
          <w:marBottom w:val="0"/>
          <w:divBdr>
            <w:top w:val="none" w:sz="0" w:space="0" w:color="auto"/>
            <w:left w:val="none" w:sz="0" w:space="0" w:color="auto"/>
            <w:bottom w:val="none" w:sz="0" w:space="0" w:color="auto"/>
            <w:right w:val="none" w:sz="0" w:space="0" w:color="auto"/>
          </w:divBdr>
          <w:divsChild>
            <w:div w:id="286664900">
              <w:marLeft w:val="0"/>
              <w:marRight w:val="0"/>
              <w:marTop w:val="0"/>
              <w:marBottom w:val="0"/>
              <w:divBdr>
                <w:top w:val="none" w:sz="0" w:space="0" w:color="auto"/>
                <w:left w:val="none" w:sz="0" w:space="0" w:color="auto"/>
                <w:bottom w:val="none" w:sz="0" w:space="0" w:color="auto"/>
                <w:right w:val="none" w:sz="0" w:space="0" w:color="auto"/>
              </w:divBdr>
            </w:div>
          </w:divsChild>
        </w:div>
        <w:div w:id="141047269">
          <w:marLeft w:val="0"/>
          <w:marRight w:val="0"/>
          <w:marTop w:val="0"/>
          <w:marBottom w:val="0"/>
          <w:divBdr>
            <w:top w:val="none" w:sz="0" w:space="0" w:color="auto"/>
            <w:left w:val="none" w:sz="0" w:space="0" w:color="auto"/>
            <w:bottom w:val="none" w:sz="0" w:space="0" w:color="auto"/>
            <w:right w:val="none" w:sz="0" w:space="0" w:color="auto"/>
          </w:divBdr>
          <w:divsChild>
            <w:div w:id="1705247711">
              <w:marLeft w:val="0"/>
              <w:marRight w:val="0"/>
              <w:marTop w:val="0"/>
              <w:marBottom w:val="0"/>
              <w:divBdr>
                <w:top w:val="none" w:sz="0" w:space="0" w:color="auto"/>
                <w:left w:val="none" w:sz="0" w:space="0" w:color="auto"/>
                <w:bottom w:val="none" w:sz="0" w:space="0" w:color="auto"/>
                <w:right w:val="none" w:sz="0" w:space="0" w:color="auto"/>
              </w:divBdr>
            </w:div>
          </w:divsChild>
        </w:div>
        <w:div w:id="182675190">
          <w:marLeft w:val="0"/>
          <w:marRight w:val="0"/>
          <w:marTop w:val="0"/>
          <w:marBottom w:val="0"/>
          <w:divBdr>
            <w:top w:val="none" w:sz="0" w:space="0" w:color="auto"/>
            <w:left w:val="none" w:sz="0" w:space="0" w:color="auto"/>
            <w:bottom w:val="none" w:sz="0" w:space="0" w:color="auto"/>
            <w:right w:val="none" w:sz="0" w:space="0" w:color="auto"/>
          </w:divBdr>
          <w:divsChild>
            <w:div w:id="1131242396">
              <w:marLeft w:val="0"/>
              <w:marRight w:val="0"/>
              <w:marTop w:val="0"/>
              <w:marBottom w:val="0"/>
              <w:divBdr>
                <w:top w:val="none" w:sz="0" w:space="0" w:color="auto"/>
                <w:left w:val="none" w:sz="0" w:space="0" w:color="auto"/>
                <w:bottom w:val="none" w:sz="0" w:space="0" w:color="auto"/>
                <w:right w:val="none" w:sz="0" w:space="0" w:color="auto"/>
              </w:divBdr>
            </w:div>
          </w:divsChild>
        </w:div>
        <w:div w:id="233205750">
          <w:marLeft w:val="0"/>
          <w:marRight w:val="0"/>
          <w:marTop w:val="0"/>
          <w:marBottom w:val="0"/>
          <w:divBdr>
            <w:top w:val="none" w:sz="0" w:space="0" w:color="auto"/>
            <w:left w:val="none" w:sz="0" w:space="0" w:color="auto"/>
            <w:bottom w:val="none" w:sz="0" w:space="0" w:color="auto"/>
            <w:right w:val="none" w:sz="0" w:space="0" w:color="auto"/>
          </w:divBdr>
          <w:divsChild>
            <w:div w:id="926840894">
              <w:marLeft w:val="0"/>
              <w:marRight w:val="0"/>
              <w:marTop w:val="0"/>
              <w:marBottom w:val="0"/>
              <w:divBdr>
                <w:top w:val="none" w:sz="0" w:space="0" w:color="auto"/>
                <w:left w:val="none" w:sz="0" w:space="0" w:color="auto"/>
                <w:bottom w:val="none" w:sz="0" w:space="0" w:color="auto"/>
                <w:right w:val="none" w:sz="0" w:space="0" w:color="auto"/>
              </w:divBdr>
            </w:div>
          </w:divsChild>
        </w:div>
        <w:div w:id="274484567">
          <w:marLeft w:val="0"/>
          <w:marRight w:val="0"/>
          <w:marTop w:val="0"/>
          <w:marBottom w:val="0"/>
          <w:divBdr>
            <w:top w:val="none" w:sz="0" w:space="0" w:color="auto"/>
            <w:left w:val="none" w:sz="0" w:space="0" w:color="auto"/>
            <w:bottom w:val="none" w:sz="0" w:space="0" w:color="auto"/>
            <w:right w:val="none" w:sz="0" w:space="0" w:color="auto"/>
          </w:divBdr>
          <w:divsChild>
            <w:div w:id="754863230">
              <w:marLeft w:val="0"/>
              <w:marRight w:val="0"/>
              <w:marTop w:val="0"/>
              <w:marBottom w:val="0"/>
              <w:divBdr>
                <w:top w:val="none" w:sz="0" w:space="0" w:color="auto"/>
                <w:left w:val="none" w:sz="0" w:space="0" w:color="auto"/>
                <w:bottom w:val="none" w:sz="0" w:space="0" w:color="auto"/>
                <w:right w:val="none" w:sz="0" w:space="0" w:color="auto"/>
              </w:divBdr>
            </w:div>
          </w:divsChild>
        </w:div>
        <w:div w:id="295333171">
          <w:marLeft w:val="0"/>
          <w:marRight w:val="0"/>
          <w:marTop w:val="0"/>
          <w:marBottom w:val="0"/>
          <w:divBdr>
            <w:top w:val="none" w:sz="0" w:space="0" w:color="auto"/>
            <w:left w:val="none" w:sz="0" w:space="0" w:color="auto"/>
            <w:bottom w:val="none" w:sz="0" w:space="0" w:color="auto"/>
            <w:right w:val="none" w:sz="0" w:space="0" w:color="auto"/>
          </w:divBdr>
          <w:divsChild>
            <w:div w:id="474487483">
              <w:marLeft w:val="0"/>
              <w:marRight w:val="0"/>
              <w:marTop w:val="0"/>
              <w:marBottom w:val="0"/>
              <w:divBdr>
                <w:top w:val="none" w:sz="0" w:space="0" w:color="auto"/>
                <w:left w:val="none" w:sz="0" w:space="0" w:color="auto"/>
                <w:bottom w:val="none" w:sz="0" w:space="0" w:color="auto"/>
                <w:right w:val="none" w:sz="0" w:space="0" w:color="auto"/>
              </w:divBdr>
            </w:div>
          </w:divsChild>
        </w:div>
        <w:div w:id="299723778">
          <w:marLeft w:val="0"/>
          <w:marRight w:val="0"/>
          <w:marTop w:val="0"/>
          <w:marBottom w:val="0"/>
          <w:divBdr>
            <w:top w:val="none" w:sz="0" w:space="0" w:color="auto"/>
            <w:left w:val="none" w:sz="0" w:space="0" w:color="auto"/>
            <w:bottom w:val="none" w:sz="0" w:space="0" w:color="auto"/>
            <w:right w:val="none" w:sz="0" w:space="0" w:color="auto"/>
          </w:divBdr>
          <w:divsChild>
            <w:div w:id="78674566">
              <w:marLeft w:val="0"/>
              <w:marRight w:val="0"/>
              <w:marTop w:val="0"/>
              <w:marBottom w:val="0"/>
              <w:divBdr>
                <w:top w:val="none" w:sz="0" w:space="0" w:color="auto"/>
                <w:left w:val="none" w:sz="0" w:space="0" w:color="auto"/>
                <w:bottom w:val="none" w:sz="0" w:space="0" w:color="auto"/>
                <w:right w:val="none" w:sz="0" w:space="0" w:color="auto"/>
              </w:divBdr>
            </w:div>
          </w:divsChild>
        </w:div>
        <w:div w:id="348797630">
          <w:marLeft w:val="0"/>
          <w:marRight w:val="0"/>
          <w:marTop w:val="0"/>
          <w:marBottom w:val="0"/>
          <w:divBdr>
            <w:top w:val="none" w:sz="0" w:space="0" w:color="auto"/>
            <w:left w:val="none" w:sz="0" w:space="0" w:color="auto"/>
            <w:bottom w:val="none" w:sz="0" w:space="0" w:color="auto"/>
            <w:right w:val="none" w:sz="0" w:space="0" w:color="auto"/>
          </w:divBdr>
          <w:divsChild>
            <w:div w:id="1863400322">
              <w:marLeft w:val="0"/>
              <w:marRight w:val="0"/>
              <w:marTop w:val="0"/>
              <w:marBottom w:val="0"/>
              <w:divBdr>
                <w:top w:val="none" w:sz="0" w:space="0" w:color="auto"/>
                <w:left w:val="none" w:sz="0" w:space="0" w:color="auto"/>
                <w:bottom w:val="none" w:sz="0" w:space="0" w:color="auto"/>
                <w:right w:val="none" w:sz="0" w:space="0" w:color="auto"/>
              </w:divBdr>
            </w:div>
          </w:divsChild>
        </w:div>
        <w:div w:id="358169605">
          <w:marLeft w:val="0"/>
          <w:marRight w:val="0"/>
          <w:marTop w:val="0"/>
          <w:marBottom w:val="0"/>
          <w:divBdr>
            <w:top w:val="none" w:sz="0" w:space="0" w:color="auto"/>
            <w:left w:val="none" w:sz="0" w:space="0" w:color="auto"/>
            <w:bottom w:val="none" w:sz="0" w:space="0" w:color="auto"/>
            <w:right w:val="none" w:sz="0" w:space="0" w:color="auto"/>
          </w:divBdr>
          <w:divsChild>
            <w:div w:id="1038092806">
              <w:marLeft w:val="0"/>
              <w:marRight w:val="0"/>
              <w:marTop w:val="0"/>
              <w:marBottom w:val="0"/>
              <w:divBdr>
                <w:top w:val="none" w:sz="0" w:space="0" w:color="auto"/>
                <w:left w:val="none" w:sz="0" w:space="0" w:color="auto"/>
                <w:bottom w:val="none" w:sz="0" w:space="0" w:color="auto"/>
                <w:right w:val="none" w:sz="0" w:space="0" w:color="auto"/>
              </w:divBdr>
            </w:div>
          </w:divsChild>
        </w:div>
        <w:div w:id="386144397">
          <w:marLeft w:val="0"/>
          <w:marRight w:val="0"/>
          <w:marTop w:val="0"/>
          <w:marBottom w:val="0"/>
          <w:divBdr>
            <w:top w:val="none" w:sz="0" w:space="0" w:color="auto"/>
            <w:left w:val="none" w:sz="0" w:space="0" w:color="auto"/>
            <w:bottom w:val="none" w:sz="0" w:space="0" w:color="auto"/>
            <w:right w:val="none" w:sz="0" w:space="0" w:color="auto"/>
          </w:divBdr>
          <w:divsChild>
            <w:div w:id="336617616">
              <w:marLeft w:val="0"/>
              <w:marRight w:val="0"/>
              <w:marTop w:val="0"/>
              <w:marBottom w:val="0"/>
              <w:divBdr>
                <w:top w:val="none" w:sz="0" w:space="0" w:color="auto"/>
                <w:left w:val="none" w:sz="0" w:space="0" w:color="auto"/>
                <w:bottom w:val="none" w:sz="0" w:space="0" w:color="auto"/>
                <w:right w:val="none" w:sz="0" w:space="0" w:color="auto"/>
              </w:divBdr>
            </w:div>
          </w:divsChild>
        </w:div>
        <w:div w:id="386758628">
          <w:marLeft w:val="0"/>
          <w:marRight w:val="0"/>
          <w:marTop w:val="0"/>
          <w:marBottom w:val="0"/>
          <w:divBdr>
            <w:top w:val="none" w:sz="0" w:space="0" w:color="auto"/>
            <w:left w:val="none" w:sz="0" w:space="0" w:color="auto"/>
            <w:bottom w:val="none" w:sz="0" w:space="0" w:color="auto"/>
            <w:right w:val="none" w:sz="0" w:space="0" w:color="auto"/>
          </w:divBdr>
          <w:divsChild>
            <w:div w:id="1678145778">
              <w:marLeft w:val="0"/>
              <w:marRight w:val="0"/>
              <w:marTop w:val="0"/>
              <w:marBottom w:val="0"/>
              <w:divBdr>
                <w:top w:val="none" w:sz="0" w:space="0" w:color="auto"/>
                <w:left w:val="none" w:sz="0" w:space="0" w:color="auto"/>
                <w:bottom w:val="none" w:sz="0" w:space="0" w:color="auto"/>
                <w:right w:val="none" w:sz="0" w:space="0" w:color="auto"/>
              </w:divBdr>
            </w:div>
          </w:divsChild>
        </w:div>
        <w:div w:id="411855417">
          <w:marLeft w:val="0"/>
          <w:marRight w:val="0"/>
          <w:marTop w:val="0"/>
          <w:marBottom w:val="0"/>
          <w:divBdr>
            <w:top w:val="none" w:sz="0" w:space="0" w:color="auto"/>
            <w:left w:val="none" w:sz="0" w:space="0" w:color="auto"/>
            <w:bottom w:val="none" w:sz="0" w:space="0" w:color="auto"/>
            <w:right w:val="none" w:sz="0" w:space="0" w:color="auto"/>
          </w:divBdr>
          <w:divsChild>
            <w:div w:id="4987673">
              <w:marLeft w:val="0"/>
              <w:marRight w:val="0"/>
              <w:marTop w:val="0"/>
              <w:marBottom w:val="0"/>
              <w:divBdr>
                <w:top w:val="none" w:sz="0" w:space="0" w:color="auto"/>
                <w:left w:val="none" w:sz="0" w:space="0" w:color="auto"/>
                <w:bottom w:val="none" w:sz="0" w:space="0" w:color="auto"/>
                <w:right w:val="none" w:sz="0" w:space="0" w:color="auto"/>
              </w:divBdr>
            </w:div>
          </w:divsChild>
        </w:div>
        <w:div w:id="436872424">
          <w:marLeft w:val="0"/>
          <w:marRight w:val="0"/>
          <w:marTop w:val="0"/>
          <w:marBottom w:val="0"/>
          <w:divBdr>
            <w:top w:val="none" w:sz="0" w:space="0" w:color="auto"/>
            <w:left w:val="none" w:sz="0" w:space="0" w:color="auto"/>
            <w:bottom w:val="none" w:sz="0" w:space="0" w:color="auto"/>
            <w:right w:val="none" w:sz="0" w:space="0" w:color="auto"/>
          </w:divBdr>
          <w:divsChild>
            <w:div w:id="537083489">
              <w:marLeft w:val="0"/>
              <w:marRight w:val="0"/>
              <w:marTop w:val="0"/>
              <w:marBottom w:val="0"/>
              <w:divBdr>
                <w:top w:val="none" w:sz="0" w:space="0" w:color="auto"/>
                <w:left w:val="none" w:sz="0" w:space="0" w:color="auto"/>
                <w:bottom w:val="none" w:sz="0" w:space="0" w:color="auto"/>
                <w:right w:val="none" w:sz="0" w:space="0" w:color="auto"/>
              </w:divBdr>
            </w:div>
          </w:divsChild>
        </w:div>
        <w:div w:id="450899962">
          <w:marLeft w:val="0"/>
          <w:marRight w:val="0"/>
          <w:marTop w:val="0"/>
          <w:marBottom w:val="0"/>
          <w:divBdr>
            <w:top w:val="none" w:sz="0" w:space="0" w:color="auto"/>
            <w:left w:val="none" w:sz="0" w:space="0" w:color="auto"/>
            <w:bottom w:val="none" w:sz="0" w:space="0" w:color="auto"/>
            <w:right w:val="none" w:sz="0" w:space="0" w:color="auto"/>
          </w:divBdr>
          <w:divsChild>
            <w:div w:id="970787401">
              <w:marLeft w:val="0"/>
              <w:marRight w:val="0"/>
              <w:marTop w:val="0"/>
              <w:marBottom w:val="0"/>
              <w:divBdr>
                <w:top w:val="none" w:sz="0" w:space="0" w:color="auto"/>
                <w:left w:val="none" w:sz="0" w:space="0" w:color="auto"/>
                <w:bottom w:val="none" w:sz="0" w:space="0" w:color="auto"/>
                <w:right w:val="none" w:sz="0" w:space="0" w:color="auto"/>
              </w:divBdr>
            </w:div>
          </w:divsChild>
        </w:div>
        <w:div w:id="458063568">
          <w:marLeft w:val="0"/>
          <w:marRight w:val="0"/>
          <w:marTop w:val="0"/>
          <w:marBottom w:val="0"/>
          <w:divBdr>
            <w:top w:val="none" w:sz="0" w:space="0" w:color="auto"/>
            <w:left w:val="none" w:sz="0" w:space="0" w:color="auto"/>
            <w:bottom w:val="none" w:sz="0" w:space="0" w:color="auto"/>
            <w:right w:val="none" w:sz="0" w:space="0" w:color="auto"/>
          </w:divBdr>
          <w:divsChild>
            <w:div w:id="644166166">
              <w:marLeft w:val="0"/>
              <w:marRight w:val="0"/>
              <w:marTop w:val="0"/>
              <w:marBottom w:val="0"/>
              <w:divBdr>
                <w:top w:val="none" w:sz="0" w:space="0" w:color="auto"/>
                <w:left w:val="none" w:sz="0" w:space="0" w:color="auto"/>
                <w:bottom w:val="none" w:sz="0" w:space="0" w:color="auto"/>
                <w:right w:val="none" w:sz="0" w:space="0" w:color="auto"/>
              </w:divBdr>
            </w:div>
          </w:divsChild>
        </w:div>
        <w:div w:id="474491265">
          <w:marLeft w:val="0"/>
          <w:marRight w:val="0"/>
          <w:marTop w:val="0"/>
          <w:marBottom w:val="0"/>
          <w:divBdr>
            <w:top w:val="none" w:sz="0" w:space="0" w:color="auto"/>
            <w:left w:val="none" w:sz="0" w:space="0" w:color="auto"/>
            <w:bottom w:val="none" w:sz="0" w:space="0" w:color="auto"/>
            <w:right w:val="none" w:sz="0" w:space="0" w:color="auto"/>
          </w:divBdr>
          <w:divsChild>
            <w:div w:id="455490465">
              <w:marLeft w:val="0"/>
              <w:marRight w:val="0"/>
              <w:marTop w:val="0"/>
              <w:marBottom w:val="0"/>
              <w:divBdr>
                <w:top w:val="none" w:sz="0" w:space="0" w:color="auto"/>
                <w:left w:val="none" w:sz="0" w:space="0" w:color="auto"/>
                <w:bottom w:val="none" w:sz="0" w:space="0" w:color="auto"/>
                <w:right w:val="none" w:sz="0" w:space="0" w:color="auto"/>
              </w:divBdr>
            </w:div>
          </w:divsChild>
        </w:div>
        <w:div w:id="602878590">
          <w:marLeft w:val="0"/>
          <w:marRight w:val="0"/>
          <w:marTop w:val="0"/>
          <w:marBottom w:val="0"/>
          <w:divBdr>
            <w:top w:val="none" w:sz="0" w:space="0" w:color="auto"/>
            <w:left w:val="none" w:sz="0" w:space="0" w:color="auto"/>
            <w:bottom w:val="none" w:sz="0" w:space="0" w:color="auto"/>
            <w:right w:val="none" w:sz="0" w:space="0" w:color="auto"/>
          </w:divBdr>
          <w:divsChild>
            <w:div w:id="359596577">
              <w:marLeft w:val="0"/>
              <w:marRight w:val="0"/>
              <w:marTop w:val="0"/>
              <w:marBottom w:val="0"/>
              <w:divBdr>
                <w:top w:val="none" w:sz="0" w:space="0" w:color="auto"/>
                <w:left w:val="none" w:sz="0" w:space="0" w:color="auto"/>
                <w:bottom w:val="none" w:sz="0" w:space="0" w:color="auto"/>
                <w:right w:val="none" w:sz="0" w:space="0" w:color="auto"/>
              </w:divBdr>
            </w:div>
          </w:divsChild>
        </w:div>
        <w:div w:id="648022318">
          <w:marLeft w:val="0"/>
          <w:marRight w:val="0"/>
          <w:marTop w:val="0"/>
          <w:marBottom w:val="0"/>
          <w:divBdr>
            <w:top w:val="none" w:sz="0" w:space="0" w:color="auto"/>
            <w:left w:val="none" w:sz="0" w:space="0" w:color="auto"/>
            <w:bottom w:val="none" w:sz="0" w:space="0" w:color="auto"/>
            <w:right w:val="none" w:sz="0" w:space="0" w:color="auto"/>
          </w:divBdr>
          <w:divsChild>
            <w:div w:id="379477516">
              <w:marLeft w:val="0"/>
              <w:marRight w:val="0"/>
              <w:marTop w:val="0"/>
              <w:marBottom w:val="0"/>
              <w:divBdr>
                <w:top w:val="none" w:sz="0" w:space="0" w:color="auto"/>
                <w:left w:val="none" w:sz="0" w:space="0" w:color="auto"/>
                <w:bottom w:val="none" w:sz="0" w:space="0" w:color="auto"/>
                <w:right w:val="none" w:sz="0" w:space="0" w:color="auto"/>
              </w:divBdr>
            </w:div>
          </w:divsChild>
        </w:div>
        <w:div w:id="685134035">
          <w:marLeft w:val="0"/>
          <w:marRight w:val="0"/>
          <w:marTop w:val="0"/>
          <w:marBottom w:val="0"/>
          <w:divBdr>
            <w:top w:val="none" w:sz="0" w:space="0" w:color="auto"/>
            <w:left w:val="none" w:sz="0" w:space="0" w:color="auto"/>
            <w:bottom w:val="none" w:sz="0" w:space="0" w:color="auto"/>
            <w:right w:val="none" w:sz="0" w:space="0" w:color="auto"/>
          </w:divBdr>
          <w:divsChild>
            <w:div w:id="1373725057">
              <w:marLeft w:val="0"/>
              <w:marRight w:val="0"/>
              <w:marTop w:val="0"/>
              <w:marBottom w:val="0"/>
              <w:divBdr>
                <w:top w:val="none" w:sz="0" w:space="0" w:color="auto"/>
                <w:left w:val="none" w:sz="0" w:space="0" w:color="auto"/>
                <w:bottom w:val="none" w:sz="0" w:space="0" w:color="auto"/>
                <w:right w:val="none" w:sz="0" w:space="0" w:color="auto"/>
              </w:divBdr>
            </w:div>
          </w:divsChild>
        </w:div>
        <w:div w:id="697202192">
          <w:marLeft w:val="0"/>
          <w:marRight w:val="0"/>
          <w:marTop w:val="0"/>
          <w:marBottom w:val="0"/>
          <w:divBdr>
            <w:top w:val="none" w:sz="0" w:space="0" w:color="auto"/>
            <w:left w:val="none" w:sz="0" w:space="0" w:color="auto"/>
            <w:bottom w:val="none" w:sz="0" w:space="0" w:color="auto"/>
            <w:right w:val="none" w:sz="0" w:space="0" w:color="auto"/>
          </w:divBdr>
          <w:divsChild>
            <w:div w:id="1995836097">
              <w:marLeft w:val="0"/>
              <w:marRight w:val="0"/>
              <w:marTop w:val="0"/>
              <w:marBottom w:val="0"/>
              <w:divBdr>
                <w:top w:val="none" w:sz="0" w:space="0" w:color="auto"/>
                <w:left w:val="none" w:sz="0" w:space="0" w:color="auto"/>
                <w:bottom w:val="none" w:sz="0" w:space="0" w:color="auto"/>
                <w:right w:val="none" w:sz="0" w:space="0" w:color="auto"/>
              </w:divBdr>
            </w:div>
          </w:divsChild>
        </w:div>
        <w:div w:id="707149852">
          <w:marLeft w:val="0"/>
          <w:marRight w:val="0"/>
          <w:marTop w:val="0"/>
          <w:marBottom w:val="0"/>
          <w:divBdr>
            <w:top w:val="none" w:sz="0" w:space="0" w:color="auto"/>
            <w:left w:val="none" w:sz="0" w:space="0" w:color="auto"/>
            <w:bottom w:val="none" w:sz="0" w:space="0" w:color="auto"/>
            <w:right w:val="none" w:sz="0" w:space="0" w:color="auto"/>
          </w:divBdr>
          <w:divsChild>
            <w:div w:id="1625192337">
              <w:marLeft w:val="0"/>
              <w:marRight w:val="0"/>
              <w:marTop w:val="0"/>
              <w:marBottom w:val="0"/>
              <w:divBdr>
                <w:top w:val="none" w:sz="0" w:space="0" w:color="auto"/>
                <w:left w:val="none" w:sz="0" w:space="0" w:color="auto"/>
                <w:bottom w:val="none" w:sz="0" w:space="0" w:color="auto"/>
                <w:right w:val="none" w:sz="0" w:space="0" w:color="auto"/>
              </w:divBdr>
            </w:div>
          </w:divsChild>
        </w:div>
        <w:div w:id="741680404">
          <w:marLeft w:val="0"/>
          <w:marRight w:val="0"/>
          <w:marTop w:val="0"/>
          <w:marBottom w:val="0"/>
          <w:divBdr>
            <w:top w:val="none" w:sz="0" w:space="0" w:color="auto"/>
            <w:left w:val="none" w:sz="0" w:space="0" w:color="auto"/>
            <w:bottom w:val="none" w:sz="0" w:space="0" w:color="auto"/>
            <w:right w:val="none" w:sz="0" w:space="0" w:color="auto"/>
          </w:divBdr>
          <w:divsChild>
            <w:div w:id="164587889">
              <w:marLeft w:val="0"/>
              <w:marRight w:val="0"/>
              <w:marTop w:val="0"/>
              <w:marBottom w:val="0"/>
              <w:divBdr>
                <w:top w:val="none" w:sz="0" w:space="0" w:color="auto"/>
                <w:left w:val="none" w:sz="0" w:space="0" w:color="auto"/>
                <w:bottom w:val="none" w:sz="0" w:space="0" w:color="auto"/>
                <w:right w:val="none" w:sz="0" w:space="0" w:color="auto"/>
              </w:divBdr>
            </w:div>
          </w:divsChild>
        </w:div>
        <w:div w:id="747770183">
          <w:marLeft w:val="0"/>
          <w:marRight w:val="0"/>
          <w:marTop w:val="0"/>
          <w:marBottom w:val="0"/>
          <w:divBdr>
            <w:top w:val="none" w:sz="0" w:space="0" w:color="auto"/>
            <w:left w:val="none" w:sz="0" w:space="0" w:color="auto"/>
            <w:bottom w:val="none" w:sz="0" w:space="0" w:color="auto"/>
            <w:right w:val="none" w:sz="0" w:space="0" w:color="auto"/>
          </w:divBdr>
          <w:divsChild>
            <w:div w:id="129253328">
              <w:marLeft w:val="0"/>
              <w:marRight w:val="0"/>
              <w:marTop w:val="0"/>
              <w:marBottom w:val="0"/>
              <w:divBdr>
                <w:top w:val="none" w:sz="0" w:space="0" w:color="auto"/>
                <w:left w:val="none" w:sz="0" w:space="0" w:color="auto"/>
                <w:bottom w:val="none" w:sz="0" w:space="0" w:color="auto"/>
                <w:right w:val="none" w:sz="0" w:space="0" w:color="auto"/>
              </w:divBdr>
            </w:div>
          </w:divsChild>
        </w:div>
        <w:div w:id="757479880">
          <w:marLeft w:val="0"/>
          <w:marRight w:val="0"/>
          <w:marTop w:val="0"/>
          <w:marBottom w:val="0"/>
          <w:divBdr>
            <w:top w:val="none" w:sz="0" w:space="0" w:color="auto"/>
            <w:left w:val="none" w:sz="0" w:space="0" w:color="auto"/>
            <w:bottom w:val="none" w:sz="0" w:space="0" w:color="auto"/>
            <w:right w:val="none" w:sz="0" w:space="0" w:color="auto"/>
          </w:divBdr>
          <w:divsChild>
            <w:div w:id="1292979780">
              <w:marLeft w:val="0"/>
              <w:marRight w:val="0"/>
              <w:marTop w:val="0"/>
              <w:marBottom w:val="0"/>
              <w:divBdr>
                <w:top w:val="none" w:sz="0" w:space="0" w:color="auto"/>
                <w:left w:val="none" w:sz="0" w:space="0" w:color="auto"/>
                <w:bottom w:val="none" w:sz="0" w:space="0" w:color="auto"/>
                <w:right w:val="none" w:sz="0" w:space="0" w:color="auto"/>
              </w:divBdr>
            </w:div>
          </w:divsChild>
        </w:div>
        <w:div w:id="819077824">
          <w:marLeft w:val="0"/>
          <w:marRight w:val="0"/>
          <w:marTop w:val="0"/>
          <w:marBottom w:val="0"/>
          <w:divBdr>
            <w:top w:val="none" w:sz="0" w:space="0" w:color="auto"/>
            <w:left w:val="none" w:sz="0" w:space="0" w:color="auto"/>
            <w:bottom w:val="none" w:sz="0" w:space="0" w:color="auto"/>
            <w:right w:val="none" w:sz="0" w:space="0" w:color="auto"/>
          </w:divBdr>
          <w:divsChild>
            <w:div w:id="847714537">
              <w:marLeft w:val="0"/>
              <w:marRight w:val="0"/>
              <w:marTop w:val="0"/>
              <w:marBottom w:val="0"/>
              <w:divBdr>
                <w:top w:val="none" w:sz="0" w:space="0" w:color="auto"/>
                <w:left w:val="none" w:sz="0" w:space="0" w:color="auto"/>
                <w:bottom w:val="none" w:sz="0" w:space="0" w:color="auto"/>
                <w:right w:val="none" w:sz="0" w:space="0" w:color="auto"/>
              </w:divBdr>
            </w:div>
          </w:divsChild>
        </w:div>
        <w:div w:id="855968292">
          <w:marLeft w:val="0"/>
          <w:marRight w:val="0"/>
          <w:marTop w:val="0"/>
          <w:marBottom w:val="0"/>
          <w:divBdr>
            <w:top w:val="none" w:sz="0" w:space="0" w:color="auto"/>
            <w:left w:val="none" w:sz="0" w:space="0" w:color="auto"/>
            <w:bottom w:val="none" w:sz="0" w:space="0" w:color="auto"/>
            <w:right w:val="none" w:sz="0" w:space="0" w:color="auto"/>
          </w:divBdr>
          <w:divsChild>
            <w:div w:id="1654409262">
              <w:marLeft w:val="0"/>
              <w:marRight w:val="0"/>
              <w:marTop w:val="0"/>
              <w:marBottom w:val="0"/>
              <w:divBdr>
                <w:top w:val="none" w:sz="0" w:space="0" w:color="auto"/>
                <w:left w:val="none" w:sz="0" w:space="0" w:color="auto"/>
                <w:bottom w:val="none" w:sz="0" w:space="0" w:color="auto"/>
                <w:right w:val="none" w:sz="0" w:space="0" w:color="auto"/>
              </w:divBdr>
            </w:div>
          </w:divsChild>
        </w:div>
        <w:div w:id="856772621">
          <w:marLeft w:val="0"/>
          <w:marRight w:val="0"/>
          <w:marTop w:val="0"/>
          <w:marBottom w:val="0"/>
          <w:divBdr>
            <w:top w:val="none" w:sz="0" w:space="0" w:color="auto"/>
            <w:left w:val="none" w:sz="0" w:space="0" w:color="auto"/>
            <w:bottom w:val="none" w:sz="0" w:space="0" w:color="auto"/>
            <w:right w:val="none" w:sz="0" w:space="0" w:color="auto"/>
          </w:divBdr>
          <w:divsChild>
            <w:div w:id="778138583">
              <w:marLeft w:val="0"/>
              <w:marRight w:val="0"/>
              <w:marTop w:val="0"/>
              <w:marBottom w:val="0"/>
              <w:divBdr>
                <w:top w:val="none" w:sz="0" w:space="0" w:color="auto"/>
                <w:left w:val="none" w:sz="0" w:space="0" w:color="auto"/>
                <w:bottom w:val="none" w:sz="0" w:space="0" w:color="auto"/>
                <w:right w:val="none" w:sz="0" w:space="0" w:color="auto"/>
              </w:divBdr>
            </w:div>
          </w:divsChild>
        </w:div>
        <w:div w:id="908656970">
          <w:marLeft w:val="0"/>
          <w:marRight w:val="0"/>
          <w:marTop w:val="0"/>
          <w:marBottom w:val="0"/>
          <w:divBdr>
            <w:top w:val="none" w:sz="0" w:space="0" w:color="auto"/>
            <w:left w:val="none" w:sz="0" w:space="0" w:color="auto"/>
            <w:bottom w:val="none" w:sz="0" w:space="0" w:color="auto"/>
            <w:right w:val="none" w:sz="0" w:space="0" w:color="auto"/>
          </w:divBdr>
          <w:divsChild>
            <w:div w:id="1894540717">
              <w:marLeft w:val="0"/>
              <w:marRight w:val="0"/>
              <w:marTop w:val="0"/>
              <w:marBottom w:val="0"/>
              <w:divBdr>
                <w:top w:val="none" w:sz="0" w:space="0" w:color="auto"/>
                <w:left w:val="none" w:sz="0" w:space="0" w:color="auto"/>
                <w:bottom w:val="none" w:sz="0" w:space="0" w:color="auto"/>
                <w:right w:val="none" w:sz="0" w:space="0" w:color="auto"/>
              </w:divBdr>
            </w:div>
          </w:divsChild>
        </w:div>
        <w:div w:id="916548902">
          <w:marLeft w:val="0"/>
          <w:marRight w:val="0"/>
          <w:marTop w:val="0"/>
          <w:marBottom w:val="0"/>
          <w:divBdr>
            <w:top w:val="none" w:sz="0" w:space="0" w:color="auto"/>
            <w:left w:val="none" w:sz="0" w:space="0" w:color="auto"/>
            <w:bottom w:val="none" w:sz="0" w:space="0" w:color="auto"/>
            <w:right w:val="none" w:sz="0" w:space="0" w:color="auto"/>
          </w:divBdr>
          <w:divsChild>
            <w:div w:id="431559993">
              <w:marLeft w:val="0"/>
              <w:marRight w:val="0"/>
              <w:marTop w:val="0"/>
              <w:marBottom w:val="0"/>
              <w:divBdr>
                <w:top w:val="none" w:sz="0" w:space="0" w:color="auto"/>
                <w:left w:val="none" w:sz="0" w:space="0" w:color="auto"/>
                <w:bottom w:val="none" w:sz="0" w:space="0" w:color="auto"/>
                <w:right w:val="none" w:sz="0" w:space="0" w:color="auto"/>
              </w:divBdr>
            </w:div>
          </w:divsChild>
        </w:div>
        <w:div w:id="1002706885">
          <w:marLeft w:val="0"/>
          <w:marRight w:val="0"/>
          <w:marTop w:val="0"/>
          <w:marBottom w:val="0"/>
          <w:divBdr>
            <w:top w:val="none" w:sz="0" w:space="0" w:color="auto"/>
            <w:left w:val="none" w:sz="0" w:space="0" w:color="auto"/>
            <w:bottom w:val="none" w:sz="0" w:space="0" w:color="auto"/>
            <w:right w:val="none" w:sz="0" w:space="0" w:color="auto"/>
          </w:divBdr>
          <w:divsChild>
            <w:div w:id="791631656">
              <w:marLeft w:val="0"/>
              <w:marRight w:val="0"/>
              <w:marTop w:val="0"/>
              <w:marBottom w:val="0"/>
              <w:divBdr>
                <w:top w:val="none" w:sz="0" w:space="0" w:color="auto"/>
                <w:left w:val="none" w:sz="0" w:space="0" w:color="auto"/>
                <w:bottom w:val="none" w:sz="0" w:space="0" w:color="auto"/>
                <w:right w:val="none" w:sz="0" w:space="0" w:color="auto"/>
              </w:divBdr>
            </w:div>
          </w:divsChild>
        </w:div>
        <w:div w:id="1014841759">
          <w:marLeft w:val="0"/>
          <w:marRight w:val="0"/>
          <w:marTop w:val="0"/>
          <w:marBottom w:val="0"/>
          <w:divBdr>
            <w:top w:val="none" w:sz="0" w:space="0" w:color="auto"/>
            <w:left w:val="none" w:sz="0" w:space="0" w:color="auto"/>
            <w:bottom w:val="none" w:sz="0" w:space="0" w:color="auto"/>
            <w:right w:val="none" w:sz="0" w:space="0" w:color="auto"/>
          </w:divBdr>
          <w:divsChild>
            <w:div w:id="1210068893">
              <w:marLeft w:val="0"/>
              <w:marRight w:val="0"/>
              <w:marTop w:val="0"/>
              <w:marBottom w:val="0"/>
              <w:divBdr>
                <w:top w:val="none" w:sz="0" w:space="0" w:color="auto"/>
                <w:left w:val="none" w:sz="0" w:space="0" w:color="auto"/>
                <w:bottom w:val="none" w:sz="0" w:space="0" w:color="auto"/>
                <w:right w:val="none" w:sz="0" w:space="0" w:color="auto"/>
              </w:divBdr>
            </w:div>
          </w:divsChild>
        </w:div>
        <w:div w:id="1063719599">
          <w:marLeft w:val="0"/>
          <w:marRight w:val="0"/>
          <w:marTop w:val="0"/>
          <w:marBottom w:val="0"/>
          <w:divBdr>
            <w:top w:val="none" w:sz="0" w:space="0" w:color="auto"/>
            <w:left w:val="none" w:sz="0" w:space="0" w:color="auto"/>
            <w:bottom w:val="none" w:sz="0" w:space="0" w:color="auto"/>
            <w:right w:val="none" w:sz="0" w:space="0" w:color="auto"/>
          </w:divBdr>
          <w:divsChild>
            <w:div w:id="729036272">
              <w:marLeft w:val="0"/>
              <w:marRight w:val="0"/>
              <w:marTop w:val="0"/>
              <w:marBottom w:val="0"/>
              <w:divBdr>
                <w:top w:val="none" w:sz="0" w:space="0" w:color="auto"/>
                <w:left w:val="none" w:sz="0" w:space="0" w:color="auto"/>
                <w:bottom w:val="none" w:sz="0" w:space="0" w:color="auto"/>
                <w:right w:val="none" w:sz="0" w:space="0" w:color="auto"/>
              </w:divBdr>
            </w:div>
          </w:divsChild>
        </w:div>
        <w:div w:id="1231161347">
          <w:marLeft w:val="0"/>
          <w:marRight w:val="0"/>
          <w:marTop w:val="0"/>
          <w:marBottom w:val="0"/>
          <w:divBdr>
            <w:top w:val="none" w:sz="0" w:space="0" w:color="auto"/>
            <w:left w:val="none" w:sz="0" w:space="0" w:color="auto"/>
            <w:bottom w:val="none" w:sz="0" w:space="0" w:color="auto"/>
            <w:right w:val="none" w:sz="0" w:space="0" w:color="auto"/>
          </w:divBdr>
          <w:divsChild>
            <w:div w:id="759372987">
              <w:marLeft w:val="0"/>
              <w:marRight w:val="0"/>
              <w:marTop w:val="0"/>
              <w:marBottom w:val="0"/>
              <w:divBdr>
                <w:top w:val="none" w:sz="0" w:space="0" w:color="auto"/>
                <w:left w:val="none" w:sz="0" w:space="0" w:color="auto"/>
                <w:bottom w:val="none" w:sz="0" w:space="0" w:color="auto"/>
                <w:right w:val="none" w:sz="0" w:space="0" w:color="auto"/>
              </w:divBdr>
            </w:div>
          </w:divsChild>
        </w:div>
        <w:div w:id="1251158153">
          <w:marLeft w:val="0"/>
          <w:marRight w:val="0"/>
          <w:marTop w:val="0"/>
          <w:marBottom w:val="0"/>
          <w:divBdr>
            <w:top w:val="none" w:sz="0" w:space="0" w:color="auto"/>
            <w:left w:val="none" w:sz="0" w:space="0" w:color="auto"/>
            <w:bottom w:val="none" w:sz="0" w:space="0" w:color="auto"/>
            <w:right w:val="none" w:sz="0" w:space="0" w:color="auto"/>
          </w:divBdr>
          <w:divsChild>
            <w:div w:id="1543010097">
              <w:marLeft w:val="0"/>
              <w:marRight w:val="0"/>
              <w:marTop w:val="0"/>
              <w:marBottom w:val="0"/>
              <w:divBdr>
                <w:top w:val="none" w:sz="0" w:space="0" w:color="auto"/>
                <w:left w:val="none" w:sz="0" w:space="0" w:color="auto"/>
                <w:bottom w:val="none" w:sz="0" w:space="0" w:color="auto"/>
                <w:right w:val="none" w:sz="0" w:space="0" w:color="auto"/>
              </w:divBdr>
            </w:div>
          </w:divsChild>
        </w:div>
        <w:div w:id="1266889707">
          <w:marLeft w:val="0"/>
          <w:marRight w:val="0"/>
          <w:marTop w:val="0"/>
          <w:marBottom w:val="0"/>
          <w:divBdr>
            <w:top w:val="none" w:sz="0" w:space="0" w:color="auto"/>
            <w:left w:val="none" w:sz="0" w:space="0" w:color="auto"/>
            <w:bottom w:val="none" w:sz="0" w:space="0" w:color="auto"/>
            <w:right w:val="none" w:sz="0" w:space="0" w:color="auto"/>
          </w:divBdr>
          <w:divsChild>
            <w:div w:id="653795812">
              <w:marLeft w:val="0"/>
              <w:marRight w:val="0"/>
              <w:marTop w:val="0"/>
              <w:marBottom w:val="0"/>
              <w:divBdr>
                <w:top w:val="none" w:sz="0" w:space="0" w:color="auto"/>
                <w:left w:val="none" w:sz="0" w:space="0" w:color="auto"/>
                <w:bottom w:val="none" w:sz="0" w:space="0" w:color="auto"/>
                <w:right w:val="none" w:sz="0" w:space="0" w:color="auto"/>
              </w:divBdr>
            </w:div>
          </w:divsChild>
        </w:div>
        <w:div w:id="1288005299">
          <w:marLeft w:val="0"/>
          <w:marRight w:val="0"/>
          <w:marTop w:val="0"/>
          <w:marBottom w:val="0"/>
          <w:divBdr>
            <w:top w:val="none" w:sz="0" w:space="0" w:color="auto"/>
            <w:left w:val="none" w:sz="0" w:space="0" w:color="auto"/>
            <w:bottom w:val="none" w:sz="0" w:space="0" w:color="auto"/>
            <w:right w:val="none" w:sz="0" w:space="0" w:color="auto"/>
          </w:divBdr>
          <w:divsChild>
            <w:div w:id="1140414699">
              <w:marLeft w:val="0"/>
              <w:marRight w:val="0"/>
              <w:marTop w:val="0"/>
              <w:marBottom w:val="0"/>
              <w:divBdr>
                <w:top w:val="none" w:sz="0" w:space="0" w:color="auto"/>
                <w:left w:val="none" w:sz="0" w:space="0" w:color="auto"/>
                <w:bottom w:val="none" w:sz="0" w:space="0" w:color="auto"/>
                <w:right w:val="none" w:sz="0" w:space="0" w:color="auto"/>
              </w:divBdr>
            </w:div>
          </w:divsChild>
        </w:div>
        <w:div w:id="1307586547">
          <w:marLeft w:val="0"/>
          <w:marRight w:val="0"/>
          <w:marTop w:val="0"/>
          <w:marBottom w:val="0"/>
          <w:divBdr>
            <w:top w:val="none" w:sz="0" w:space="0" w:color="auto"/>
            <w:left w:val="none" w:sz="0" w:space="0" w:color="auto"/>
            <w:bottom w:val="none" w:sz="0" w:space="0" w:color="auto"/>
            <w:right w:val="none" w:sz="0" w:space="0" w:color="auto"/>
          </w:divBdr>
          <w:divsChild>
            <w:div w:id="1302541458">
              <w:marLeft w:val="0"/>
              <w:marRight w:val="0"/>
              <w:marTop w:val="0"/>
              <w:marBottom w:val="0"/>
              <w:divBdr>
                <w:top w:val="none" w:sz="0" w:space="0" w:color="auto"/>
                <w:left w:val="none" w:sz="0" w:space="0" w:color="auto"/>
                <w:bottom w:val="none" w:sz="0" w:space="0" w:color="auto"/>
                <w:right w:val="none" w:sz="0" w:space="0" w:color="auto"/>
              </w:divBdr>
            </w:div>
          </w:divsChild>
        </w:div>
        <w:div w:id="1338919113">
          <w:marLeft w:val="0"/>
          <w:marRight w:val="0"/>
          <w:marTop w:val="0"/>
          <w:marBottom w:val="0"/>
          <w:divBdr>
            <w:top w:val="none" w:sz="0" w:space="0" w:color="auto"/>
            <w:left w:val="none" w:sz="0" w:space="0" w:color="auto"/>
            <w:bottom w:val="none" w:sz="0" w:space="0" w:color="auto"/>
            <w:right w:val="none" w:sz="0" w:space="0" w:color="auto"/>
          </w:divBdr>
          <w:divsChild>
            <w:div w:id="719138127">
              <w:marLeft w:val="0"/>
              <w:marRight w:val="0"/>
              <w:marTop w:val="0"/>
              <w:marBottom w:val="0"/>
              <w:divBdr>
                <w:top w:val="none" w:sz="0" w:space="0" w:color="auto"/>
                <w:left w:val="none" w:sz="0" w:space="0" w:color="auto"/>
                <w:bottom w:val="none" w:sz="0" w:space="0" w:color="auto"/>
                <w:right w:val="none" w:sz="0" w:space="0" w:color="auto"/>
              </w:divBdr>
            </w:div>
          </w:divsChild>
        </w:div>
        <w:div w:id="1349676922">
          <w:marLeft w:val="0"/>
          <w:marRight w:val="0"/>
          <w:marTop w:val="0"/>
          <w:marBottom w:val="0"/>
          <w:divBdr>
            <w:top w:val="none" w:sz="0" w:space="0" w:color="auto"/>
            <w:left w:val="none" w:sz="0" w:space="0" w:color="auto"/>
            <w:bottom w:val="none" w:sz="0" w:space="0" w:color="auto"/>
            <w:right w:val="none" w:sz="0" w:space="0" w:color="auto"/>
          </w:divBdr>
          <w:divsChild>
            <w:div w:id="364059458">
              <w:marLeft w:val="0"/>
              <w:marRight w:val="0"/>
              <w:marTop w:val="0"/>
              <w:marBottom w:val="0"/>
              <w:divBdr>
                <w:top w:val="none" w:sz="0" w:space="0" w:color="auto"/>
                <w:left w:val="none" w:sz="0" w:space="0" w:color="auto"/>
                <w:bottom w:val="none" w:sz="0" w:space="0" w:color="auto"/>
                <w:right w:val="none" w:sz="0" w:space="0" w:color="auto"/>
              </w:divBdr>
            </w:div>
          </w:divsChild>
        </w:div>
        <w:div w:id="1352032646">
          <w:marLeft w:val="0"/>
          <w:marRight w:val="0"/>
          <w:marTop w:val="0"/>
          <w:marBottom w:val="0"/>
          <w:divBdr>
            <w:top w:val="none" w:sz="0" w:space="0" w:color="auto"/>
            <w:left w:val="none" w:sz="0" w:space="0" w:color="auto"/>
            <w:bottom w:val="none" w:sz="0" w:space="0" w:color="auto"/>
            <w:right w:val="none" w:sz="0" w:space="0" w:color="auto"/>
          </w:divBdr>
          <w:divsChild>
            <w:div w:id="28382438">
              <w:marLeft w:val="0"/>
              <w:marRight w:val="0"/>
              <w:marTop w:val="0"/>
              <w:marBottom w:val="0"/>
              <w:divBdr>
                <w:top w:val="none" w:sz="0" w:space="0" w:color="auto"/>
                <w:left w:val="none" w:sz="0" w:space="0" w:color="auto"/>
                <w:bottom w:val="none" w:sz="0" w:space="0" w:color="auto"/>
                <w:right w:val="none" w:sz="0" w:space="0" w:color="auto"/>
              </w:divBdr>
            </w:div>
          </w:divsChild>
        </w:div>
        <w:div w:id="1363281560">
          <w:marLeft w:val="0"/>
          <w:marRight w:val="0"/>
          <w:marTop w:val="0"/>
          <w:marBottom w:val="0"/>
          <w:divBdr>
            <w:top w:val="none" w:sz="0" w:space="0" w:color="auto"/>
            <w:left w:val="none" w:sz="0" w:space="0" w:color="auto"/>
            <w:bottom w:val="none" w:sz="0" w:space="0" w:color="auto"/>
            <w:right w:val="none" w:sz="0" w:space="0" w:color="auto"/>
          </w:divBdr>
          <w:divsChild>
            <w:div w:id="217789179">
              <w:marLeft w:val="0"/>
              <w:marRight w:val="0"/>
              <w:marTop w:val="0"/>
              <w:marBottom w:val="0"/>
              <w:divBdr>
                <w:top w:val="none" w:sz="0" w:space="0" w:color="auto"/>
                <w:left w:val="none" w:sz="0" w:space="0" w:color="auto"/>
                <w:bottom w:val="none" w:sz="0" w:space="0" w:color="auto"/>
                <w:right w:val="none" w:sz="0" w:space="0" w:color="auto"/>
              </w:divBdr>
            </w:div>
          </w:divsChild>
        </w:div>
        <w:div w:id="1364359181">
          <w:marLeft w:val="0"/>
          <w:marRight w:val="0"/>
          <w:marTop w:val="0"/>
          <w:marBottom w:val="0"/>
          <w:divBdr>
            <w:top w:val="none" w:sz="0" w:space="0" w:color="auto"/>
            <w:left w:val="none" w:sz="0" w:space="0" w:color="auto"/>
            <w:bottom w:val="none" w:sz="0" w:space="0" w:color="auto"/>
            <w:right w:val="none" w:sz="0" w:space="0" w:color="auto"/>
          </w:divBdr>
          <w:divsChild>
            <w:div w:id="1826124516">
              <w:marLeft w:val="0"/>
              <w:marRight w:val="0"/>
              <w:marTop w:val="0"/>
              <w:marBottom w:val="0"/>
              <w:divBdr>
                <w:top w:val="none" w:sz="0" w:space="0" w:color="auto"/>
                <w:left w:val="none" w:sz="0" w:space="0" w:color="auto"/>
                <w:bottom w:val="none" w:sz="0" w:space="0" w:color="auto"/>
                <w:right w:val="none" w:sz="0" w:space="0" w:color="auto"/>
              </w:divBdr>
            </w:div>
          </w:divsChild>
        </w:div>
        <w:div w:id="1433478551">
          <w:marLeft w:val="0"/>
          <w:marRight w:val="0"/>
          <w:marTop w:val="0"/>
          <w:marBottom w:val="0"/>
          <w:divBdr>
            <w:top w:val="none" w:sz="0" w:space="0" w:color="auto"/>
            <w:left w:val="none" w:sz="0" w:space="0" w:color="auto"/>
            <w:bottom w:val="none" w:sz="0" w:space="0" w:color="auto"/>
            <w:right w:val="none" w:sz="0" w:space="0" w:color="auto"/>
          </w:divBdr>
          <w:divsChild>
            <w:div w:id="2124372947">
              <w:marLeft w:val="0"/>
              <w:marRight w:val="0"/>
              <w:marTop w:val="0"/>
              <w:marBottom w:val="0"/>
              <w:divBdr>
                <w:top w:val="none" w:sz="0" w:space="0" w:color="auto"/>
                <w:left w:val="none" w:sz="0" w:space="0" w:color="auto"/>
                <w:bottom w:val="none" w:sz="0" w:space="0" w:color="auto"/>
                <w:right w:val="none" w:sz="0" w:space="0" w:color="auto"/>
              </w:divBdr>
            </w:div>
          </w:divsChild>
        </w:div>
        <w:div w:id="1434008301">
          <w:marLeft w:val="0"/>
          <w:marRight w:val="0"/>
          <w:marTop w:val="0"/>
          <w:marBottom w:val="0"/>
          <w:divBdr>
            <w:top w:val="none" w:sz="0" w:space="0" w:color="auto"/>
            <w:left w:val="none" w:sz="0" w:space="0" w:color="auto"/>
            <w:bottom w:val="none" w:sz="0" w:space="0" w:color="auto"/>
            <w:right w:val="none" w:sz="0" w:space="0" w:color="auto"/>
          </w:divBdr>
          <w:divsChild>
            <w:div w:id="1887133014">
              <w:marLeft w:val="0"/>
              <w:marRight w:val="0"/>
              <w:marTop w:val="0"/>
              <w:marBottom w:val="0"/>
              <w:divBdr>
                <w:top w:val="none" w:sz="0" w:space="0" w:color="auto"/>
                <w:left w:val="none" w:sz="0" w:space="0" w:color="auto"/>
                <w:bottom w:val="none" w:sz="0" w:space="0" w:color="auto"/>
                <w:right w:val="none" w:sz="0" w:space="0" w:color="auto"/>
              </w:divBdr>
            </w:div>
          </w:divsChild>
        </w:div>
        <w:div w:id="1437944922">
          <w:marLeft w:val="0"/>
          <w:marRight w:val="0"/>
          <w:marTop w:val="0"/>
          <w:marBottom w:val="0"/>
          <w:divBdr>
            <w:top w:val="none" w:sz="0" w:space="0" w:color="auto"/>
            <w:left w:val="none" w:sz="0" w:space="0" w:color="auto"/>
            <w:bottom w:val="none" w:sz="0" w:space="0" w:color="auto"/>
            <w:right w:val="none" w:sz="0" w:space="0" w:color="auto"/>
          </w:divBdr>
          <w:divsChild>
            <w:div w:id="136344413">
              <w:marLeft w:val="0"/>
              <w:marRight w:val="0"/>
              <w:marTop w:val="0"/>
              <w:marBottom w:val="0"/>
              <w:divBdr>
                <w:top w:val="none" w:sz="0" w:space="0" w:color="auto"/>
                <w:left w:val="none" w:sz="0" w:space="0" w:color="auto"/>
                <w:bottom w:val="none" w:sz="0" w:space="0" w:color="auto"/>
                <w:right w:val="none" w:sz="0" w:space="0" w:color="auto"/>
              </w:divBdr>
            </w:div>
          </w:divsChild>
        </w:div>
        <w:div w:id="1438022881">
          <w:marLeft w:val="0"/>
          <w:marRight w:val="0"/>
          <w:marTop w:val="0"/>
          <w:marBottom w:val="0"/>
          <w:divBdr>
            <w:top w:val="none" w:sz="0" w:space="0" w:color="auto"/>
            <w:left w:val="none" w:sz="0" w:space="0" w:color="auto"/>
            <w:bottom w:val="none" w:sz="0" w:space="0" w:color="auto"/>
            <w:right w:val="none" w:sz="0" w:space="0" w:color="auto"/>
          </w:divBdr>
          <w:divsChild>
            <w:div w:id="2019000097">
              <w:marLeft w:val="0"/>
              <w:marRight w:val="0"/>
              <w:marTop w:val="0"/>
              <w:marBottom w:val="0"/>
              <w:divBdr>
                <w:top w:val="none" w:sz="0" w:space="0" w:color="auto"/>
                <w:left w:val="none" w:sz="0" w:space="0" w:color="auto"/>
                <w:bottom w:val="none" w:sz="0" w:space="0" w:color="auto"/>
                <w:right w:val="none" w:sz="0" w:space="0" w:color="auto"/>
              </w:divBdr>
            </w:div>
          </w:divsChild>
        </w:div>
        <w:div w:id="1511868674">
          <w:marLeft w:val="0"/>
          <w:marRight w:val="0"/>
          <w:marTop w:val="0"/>
          <w:marBottom w:val="0"/>
          <w:divBdr>
            <w:top w:val="none" w:sz="0" w:space="0" w:color="auto"/>
            <w:left w:val="none" w:sz="0" w:space="0" w:color="auto"/>
            <w:bottom w:val="none" w:sz="0" w:space="0" w:color="auto"/>
            <w:right w:val="none" w:sz="0" w:space="0" w:color="auto"/>
          </w:divBdr>
          <w:divsChild>
            <w:div w:id="1832482229">
              <w:marLeft w:val="0"/>
              <w:marRight w:val="0"/>
              <w:marTop w:val="0"/>
              <w:marBottom w:val="0"/>
              <w:divBdr>
                <w:top w:val="none" w:sz="0" w:space="0" w:color="auto"/>
                <w:left w:val="none" w:sz="0" w:space="0" w:color="auto"/>
                <w:bottom w:val="none" w:sz="0" w:space="0" w:color="auto"/>
                <w:right w:val="none" w:sz="0" w:space="0" w:color="auto"/>
              </w:divBdr>
            </w:div>
          </w:divsChild>
        </w:div>
        <w:div w:id="1573348898">
          <w:marLeft w:val="0"/>
          <w:marRight w:val="0"/>
          <w:marTop w:val="0"/>
          <w:marBottom w:val="0"/>
          <w:divBdr>
            <w:top w:val="none" w:sz="0" w:space="0" w:color="auto"/>
            <w:left w:val="none" w:sz="0" w:space="0" w:color="auto"/>
            <w:bottom w:val="none" w:sz="0" w:space="0" w:color="auto"/>
            <w:right w:val="none" w:sz="0" w:space="0" w:color="auto"/>
          </w:divBdr>
          <w:divsChild>
            <w:div w:id="2041054608">
              <w:marLeft w:val="0"/>
              <w:marRight w:val="0"/>
              <w:marTop w:val="0"/>
              <w:marBottom w:val="0"/>
              <w:divBdr>
                <w:top w:val="none" w:sz="0" w:space="0" w:color="auto"/>
                <w:left w:val="none" w:sz="0" w:space="0" w:color="auto"/>
                <w:bottom w:val="none" w:sz="0" w:space="0" w:color="auto"/>
                <w:right w:val="none" w:sz="0" w:space="0" w:color="auto"/>
              </w:divBdr>
            </w:div>
          </w:divsChild>
        </w:div>
        <w:div w:id="1600797401">
          <w:marLeft w:val="0"/>
          <w:marRight w:val="0"/>
          <w:marTop w:val="0"/>
          <w:marBottom w:val="0"/>
          <w:divBdr>
            <w:top w:val="none" w:sz="0" w:space="0" w:color="auto"/>
            <w:left w:val="none" w:sz="0" w:space="0" w:color="auto"/>
            <w:bottom w:val="none" w:sz="0" w:space="0" w:color="auto"/>
            <w:right w:val="none" w:sz="0" w:space="0" w:color="auto"/>
          </w:divBdr>
          <w:divsChild>
            <w:div w:id="1497722043">
              <w:marLeft w:val="0"/>
              <w:marRight w:val="0"/>
              <w:marTop w:val="0"/>
              <w:marBottom w:val="0"/>
              <w:divBdr>
                <w:top w:val="none" w:sz="0" w:space="0" w:color="auto"/>
                <w:left w:val="none" w:sz="0" w:space="0" w:color="auto"/>
                <w:bottom w:val="none" w:sz="0" w:space="0" w:color="auto"/>
                <w:right w:val="none" w:sz="0" w:space="0" w:color="auto"/>
              </w:divBdr>
            </w:div>
          </w:divsChild>
        </w:div>
        <w:div w:id="1612006048">
          <w:marLeft w:val="0"/>
          <w:marRight w:val="0"/>
          <w:marTop w:val="0"/>
          <w:marBottom w:val="0"/>
          <w:divBdr>
            <w:top w:val="none" w:sz="0" w:space="0" w:color="auto"/>
            <w:left w:val="none" w:sz="0" w:space="0" w:color="auto"/>
            <w:bottom w:val="none" w:sz="0" w:space="0" w:color="auto"/>
            <w:right w:val="none" w:sz="0" w:space="0" w:color="auto"/>
          </w:divBdr>
          <w:divsChild>
            <w:div w:id="1637954189">
              <w:marLeft w:val="0"/>
              <w:marRight w:val="0"/>
              <w:marTop w:val="0"/>
              <w:marBottom w:val="0"/>
              <w:divBdr>
                <w:top w:val="none" w:sz="0" w:space="0" w:color="auto"/>
                <w:left w:val="none" w:sz="0" w:space="0" w:color="auto"/>
                <w:bottom w:val="none" w:sz="0" w:space="0" w:color="auto"/>
                <w:right w:val="none" w:sz="0" w:space="0" w:color="auto"/>
              </w:divBdr>
            </w:div>
          </w:divsChild>
        </w:div>
        <w:div w:id="1705518458">
          <w:marLeft w:val="0"/>
          <w:marRight w:val="0"/>
          <w:marTop w:val="0"/>
          <w:marBottom w:val="0"/>
          <w:divBdr>
            <w:top w:val="none" w:sz="0" w:space="0" w:color="auto"/>
            <w:left w:val="none" w:sz="0" w:space="0" w:color="auto"/>
            <w:bottom w:val="none" w:sz="0" w:space="0" w:color="auto"/>
            <w:right w:val="none" w:sz="0" w:space="0" w:color="auto"/>
          </w:divBdr>
          <w:divsChild>
            <w:div w:id="1262882683">
              <w:marLeft w:val="0"/>
              <w:marRight w:val="0"/>
              <w:marTop w:val="0"/>
              <w:marBottom w:val="0"/>
              <w:divBdr>
                <w:top w:val="none" w:sz="0" w:space="0" w:color="auto"/>
                <w:left w:val="none" w:sz="0" w:space="0" w:color="auto"/>
                <w:bottom w:val="none" w:sz="0" w:space="0" w:color="auto"/>
                <w:right w:val="none" w:sz="0" w:space="0" w:color="auto"/>
              </w:divBdr>
            </w:div>
          </w:divsChild>
        </w:div>
        <w:div w:id="1749499839">
          <w:marLeft w:val="0"/>
          <w:marRight w:val="0"/>
          <w:marTop w:val="0"/>
          <w:marBottom w:val="0"/>
          <w:divBdr>
            <w:top w:val="none" w:sz="0" w:space="0" w:color="auto"/>
            <w:left w:val="none" w:sz="0" w:space="0" w:color="auto"/>
            <w:bottom w:val="none" w:sz="0" w:space="0" w:color="auto"/>
            <w:right w:val="none" w:sz="0" w:space="0" w:color="auto"/>
          </w:divBdr>
          <w:divsChild>
            <w:div w:id="817847422">
              <w:marLeft w:val="0"/>
              <w:marRight w:val="0"/>
              <w:marTop w:val="0"/>
              <w:marBottom w:val="0"/>
              <w:divBdr>
                <w:top w:val="none" w:sz="0" w:space="0" w:color="auto"/>
                <w:left w:val="none" w:sz="0" w:space="0" w:color="auto"/>
                <w:bottom w:val="none" w:sz="0" w:space="0" w:color="auto"/>
                <w:right w:val="none" w:sz="0" w:space="0" w:color="auto"/>
              </w:divBdr>
            </w:div>
          </w:divsChild>
        </w:div>
        <w:div w:id="1824467404">
          <w:marLeft w:val="0"/>
          <w:marRight w:val="0"/>
          <w:marTop w:val="0"/>
          <w:marBottom w:val="0"/>
          <w:divBdr>
            <w:top w:val="none" w:sz="0" w:space="0" w:color="auto"/>
            <w:left w:val="none" w:sz="0" w:space="0" w:color="auto"/>
            <w:bottom w:val="none" w:sz="0" w:space="0" w:color="auto"/>
            <w:right w:val="none" w:sz="0" w:space="0" w:color="auto"/>
          </w:divBdr>
          <w:divsChild>
            <w:div w:id="1697122664">
              <w:marLeft w:val="0"/>
              <w:marRight w:val="0"/>
              <w:marTop w:val="0"/>
              <w:marBottom w:val="0"/>
              <w:divBdr>
                <w:top w:val="none" w:sz="0" w:space="0" w:color="auto"/>
                <w:left w:val="none" w:sz="0" w:space="0" w:color="auto"/>
                <w:bottom w:val="none" w:sz="0" w:space="0" w:color="auto"/>
                <w:right w:val="none" w:sz="0" w:space="0" w:color="auto"/>
              </w:divBdr>
            </w:div>
          </w:divsChild>
        </w:div>
        <w:div w:id="1871644300">
          <w:marLeft w:val="0"/>
          <w:marRight w:val="0"/>
          <w:marTop w:val="0"/>
          <w:marBottom w:val="0"/>
          <w:divBdr>
            <w:top w:val="none" w:sz="0" w:space="0" w:color="auto"/>
            <w:left w:val="none" w:sz="0" w:space="0" w:color="auto"/>
            <w:bottom w:val="none" w:sz="0" w:space="0" w:color="auto"/>
            <w:right w:val="none" w:sz="0" w:space="0" w:color="auto"/>
          </w:divBdr>
          <w:divsChild>
            <w:div w:id="760292991">
              <w:marLeft w:val="0"/>
              <w:marRight w:val="0"/>
              <w:marTop w:val="0"/>
              <w:marBottom w:val="0"/>
              <w:divBdr>
                <w:top w:val="none" w:sz="0" w:space="0" w:color="auto"/>
                <w:left w:val="none" w:sz="0" w:space="0" w:color="auto"/>
                <w:bottom w:val="none" w:sz="0" w:space="0" w:color="auto"/>
                <w:right w:val="none" w:sz="0" w:space="0" w:color="auto"/>
              </w:divBdr>
            </w:div>
          </w:divsChild>
        </w:div>
        <w:div w:id="1871988262">
          <w:marLeft w:val="0"/>
          <w:marRight w:val="0"/>
          <w:marTop w:val="0"/>
          <w:marBottom w:val="0"/>
          <w:divBdr>
            <w:top w:val="none" w:sz="0" w:space="0" w:color="auto"/>
            <w:left w:val="none" w:sz="0" w:space="0" w:color="auto"/>
            <w:bottom w:val="none" w:sz="0" w:space="0" w:color="auto"/>
            <w:right w:val="none" w:sz="0" w:space="0" w:color="auto"/>
          </w:divBdr>
          <w:divsChild>
            <w:div w:id="1997761887">
              <w:marLeft w:val="0"/>
              <w:marRight w:val="0"/>
              <w:marTop w:val="0"/>
              <w:marBottom w:val="0"/>
              <w:divBdr>
                <w:top w:val="none" w:sz="0" w:space="0" w:color="auto"/>
                <w:left w:val="none" w:sz="0" w:space="0" w:color="auto"/>
                <w:bottom w:val="none" w:sz="0" w:space="0" w:color="auto"/>
                <w:right w:val="none" w:sz="0" w:space="0" w:color="auto"/>
              </w:divBdr>
            </w:div>
          </w:divsChild>
        </w:div>
        <w:div w:id="1883590707">
          <w:marLeft w:val="0"/>
          <w:marRight w:val="0"/>
          <w:marTop w:val="0"/>
          <w:marBottom w:val="0"/>
          <w:divBdr>
            <w:top w:val="none" w:sz="0" w:space="0" w:color="auto"/>
            <w:left w:val="none" w:sz="0" w:space="0" w:color="auto"/>
            <w:bottom w:val="none" w:sz="0" w:space="0" w:color="auto"/>
            <w:right w:val="none" w:sz="0" w:space="0" w:color="auto"/>
          </w:divBdr>
          <w:divsChild>
            <w:div w:id="433982664">
              <w:marLeft w:val="0"/>
              <w:marRight w:val="0"/>
              <w:marTop w:val="0"/>
              <w:marBottom w:val="0"/>
              <w:divBdr>
                <w:top w:val="none" w:sz="0" w:space="0" w:color="auto"/>
                <w:left w:val="none" w:sz="0" w:space="0" w:color="auto"/>
                <w:bottom w:val="none" w:sz="0" w:space="0" w:color="auto"/>
                <w:right w:val="none" w:sz="0" w:space="0" w:color="auto"/>
              </w:divBdr>
            </w:div>
          </w:divsChild>
        </w:div>
        <w:div w:id="1906065223">
          <w:marLeft w:val="0"/>
          <w:marRight w:val="0"/>
          <w:marTop w:val="0"/>
          <w:marBottom w:val="0"/>
          <w:divBdr>
            <w:top w:val="none" w:sz="0" w:space="0" w:color="auto"/>
            <w:left w:val="none" w:sz="0" w:space="0" w:color="auto"/>
            <w:bottom w:val="none" w:sz="0" w:space="0" w:color="auto"/>
            <w:right w:val="none" w:sz="0" w:space="0" w:color="auto"/>
          </w:divBdr>
          <w:divsChild>
            <w:div w:id="962347125">
              <w:marLeft w:val="0"/>
              <w:marRight w:val="0"/>
              <w:marTop w:val="0"/>
              <w:marBottom w:val="0"/>
              <w:divBdr>
                <w:top w:val="none" w:sz="0" w:space="0" w:color="auto"/>
                <w:left w:val="none" w:sz="0" w:space="0" w:color="auto"/>
                <w:bottom w:val="none" w:sz="0" w:space="0" w:color="auto"/>
                <w:right w:val="none" w:sz="0" w:space="0" w:color="auto"/>
              </w:divBdr>
            </w:div>
          </w:divsChild>
        </w:div>
        <w:div w:id="1948803178">
          <w:marLeft w:val="0"/>
          <w:marRight w:val="0"/>
          <w:marTop w:val="0"/>
          <w:marBottom w:val="0"/>
          <w:divBdr>
            <w:top w:val="none" w:sz="0" w:space="0" w:color="auto"/>
            <w:left w:val="none" w:sz="0" w:space="0" w:color="auto"/>
            <w:bottom w:val="none" w:sz="0" w:space="0" w:color="auto"/>
            <w:right w:val="none" w:sz="0" w:space="0" w:color="auto"/>
          </w:divBdr>
          <w:divsChild>
            <w:div w:id="238902328">
              <w:marLeft w:val="0"/>
              <w:marRight w:val="0"/>
              <w:marTop w:val="0"/>
              <w:marBottom w:val="0"/>
              <w:divBdr>
                <w:top w:val="none" w:sz="0" w:space="0" w:color="auto"/>
                <w:left w:val="none" w:sz="0" w:space="0" w:color="auto"/>
                <w:bottom w:val="none" w:sz="0" w:space="0" w:color="auto"/>
                <w:right w:val="none" w:sz="0" w:space="0" w:color="auto"/>
              </w:divBdr>
            </w:div>
          </w:divsChild>
        </w:div>
        <w:div w:id="1964922149">
          <w:marLeft w:val="0"/>
          <w:marRight w:val="0"/>
          <w:marTop w:val="0"/>
          <w:marBottom w:val="0"/>
          <w:divBdr>
            <w:top w:val="none" w:sz="0" w:space="0" w:color="auto"/>
            <w:left w:val="none" w:sz="0" w:space="0" w:color="auto"/>
            <w:bottom w:val="none" w:sz="0" w:space="0" w:color="auto"/>
            <w:right w:val="none" w:sz="0" w:space="0" w:color="auto"/>
          </w:divBdr>
          <w:divsChild>
            <w:div w:id="1182353506">
              <w:marLeft w:val="0"/>
              <w:marRight w:val="0"/>
              <w:marTop w:val="0"/>
              <w:marBottom w:val="0"/>
              <w:divBdr>
                <w:top w:val="none" w:sz="0" w:space="0" w:color="auto"/>
                <w:left w:val="none" w:sz="0" w:space="0" w:color="auto"/>
                <w:bottom w:val="none" w:sz="0" w:space="0" w:color="auto"/>
                <w:right w:val="none" w:sz="0" w:space="0" w:color="auto"/>
              </w:divBdr>
            </w:div>
          </w:divsChild>
        </w:div>
        <w:div w:id="2000302891">
          <w:marLeft w:val="0"/>
          <w:marRight w:val="0"/>
          <w:marTop w:val="0"/>
          <w:marBottom w:val="0"/>
          <w:divBdr>
            <w:top w:val="none" w:sz="0" w:space="0" w:color="auto"/>
            <w:left w:val="none" w:sz="0" w:space="0" w:color="auto"/>
            <w:bottom w:val="none" w:sz="0" w:space="0" w:color="auto"/>
            <w:right w:val="none" w:sz="0" w:space="0" w:color="auto"/>
          </w:divBdr>
          <w:divsChild>
            <w:div w:id="585309596">
              <w:marLeft w:val="0"/>
              <w:marRight w:val="0"/>
              <w:marTop w:val="0"/>
              <w:marBottom w:val="0"/>
              <w:divBdr>
                <w:top w:val="none" w:sz="0" w:space="0" w:color="auto"/>
                <w:left w:val="none" w:sz="0" w:space="0" w:color="auto"/>
                <w:bottom w:val="none" w:sz="0" w:space="0" w:color="auto"/>
                <w:right w:val="none" w:sz="0" w:space="0" w:color="auto"/>
              </w:divBdr>
            </w:div>
          </w:divsChild>
        </w:div>
        <w:div w:id="2030326885">
          <w:marLeft w:val="0"/>
          <w:marRight w:val="0"/>
          <w:marTop w:val="0"/>
          <w:marBottom w:val="0"/>
          <w:divBdr>
            <w:top w:val="none" w:sz="0" w:space="0" w:color="auto"/>
            <w:left w:val="none" w:sz="0" w:space="0" w:color="auto"/>
            <w:bottom w:val="none" w:sz="0" w:space="0" w:color="auto"/>
            <w:right w:val="none" w:sz="0" w:space="0" w:color="auto"/>
          </w:divBdr>
          <w:divsChild>
            <w:div w:id="401636834">
              <w:marLeft w:val="0"/>
              <w:marRight w:val="0"/>
              <w:marTop w:val="0"/>
              <w:marBottom w:val="0"/>
              <w:divBdr>
                <w:top w:val="none" w:sz="0" w:space="0" w:color="auto"/>
                <w:left w:val="none" w:sz="0" w:space="0" w:color="auto"/>
                <w:bottom w:val="none" w:sz="0" w:space="0" w:color="auto"/>
                <w:right w:val="none" w:sz="0" w:space="0" w:color="auto"/>
              </w:divBdr>
            </w:div>
          </w:divsChild>
        </w:div>
        <w:div w:id="2096778400">
          <w:marLeft w:val="0"/>
          <w:marRight w:val="0"/>
          <w:marTop w:val="0"/>
          <w:marBottom w:val="0"/>
          <w:divBdr>
            <w:top w:val="none" w:sz="0" w:space="0" w:color="auto"/>
            <w:left w:val="none" w:sz="0" w:space="0" w:color="auto"/>
            <w:bottom w:val="none" w:sz="0" w:space="0" w:color="auto"/>
            <w:right w:val="none" w:sz="0" w:space="0" w:color="auto"/>
          </w:divBdr>
          <w:divsChild>
            <w:div w:id="947278447">
              <w:marLeft w:val="0"/>
              <w:marRight w:val="0"/>
              <w:marTop w:val="0"/>
              <w:marBottom w:val="0"/>
              <w:divBdr>
                <w:top w:val="none" w:sz="0" w:space="0" w:color="auto"/>
                <w:left w:val="none" w:sz="0" w:space="0" w:color="auto"/>
                <w:bottom w:val="none" w:sz="0" w:space="0" w:color="auto"/>
                <w:right w:val="none" w:sz="0" w:space="0" w:color="auto"/>
              </w:divBdr>
            </w:div>
          </w:divsChild>
        </w:div>
        <w:div w:id="2117170015">
          <w:marLeft w:val="0"/>
          <w:marRight w:val="0"/>
          <w:marTop w:val="0"/>
          <w:marBottom w:val="0"/>
          <w:divBdr>
            <w:top w:val="none" w:sz="0" w:space="0" w:color="auto"/>
            <w:left w:val="none" w:sz="0" w:space="0" w:color="auto"/>
            <w:bottom w:val="none" w:sz="0" w:space="0" w:color="auto"/>
            <w:right w:val="none" w:sz="0" w:space="0" w:color="auto"/>
          </w:divBdr>
          <w:divsChild>
            <w:div w:id="1522815976">
              <w:marLeft w:val="0"/>
              <w:marRight w:val="0"/>
              <w:marTop w:val="0"/>
              <w:marBottom w:val="0"/>
              <w:divBdr>
                <w:top w:val="none" w:sz="0" w:space="0" w:color="auto"/>
                <w:left w:val="none" w:sz="0" w:space="0" w:color="auto"/>
                <w:bottom w:val="none" w:sz="0" w:space="0" w:color="auto"/>
                <w:right w:val="none" w:sz="0" w:space="0" w:color="auto"/>
              </w:divBdr>
            </w:div>
          </w:divsChild>
        </w:div>
        <w:div w:id="2142846133">
          <w:marLeft w:val="0"/>
          <w:marRight w:val="0"/>
          <w:marTop w:val="0"/>
          <w:marBottom w:val="0"/>
          <w:divBdr>
            <w:top w:val="none" w:sz="0" w:space="0" w:color="auto"/>
            <w:left w:val="none" w:sz="0" w:space="0" w:color="auto"/>
            <w:bottom w:val="none" w:sz="0" w:space="0" w:color="auto"/>
            <w:right w:val="none" w:sz="0" w:space="0" w:color="auto"/>
          </w:divBdr>
          <w:divsChild>
            <w:div w:id="53728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287501">
      <w:bodyDiv w:val="1"/>
      <w:marLeft w:val="0"/>
      <w:marRight w:val="0"/>
      <w:marTop w:val="0"/>
      <w:marBottom w:val="0"/>
      <w:divBdr>
        <w:top w:val="none" w:sz="0" w:space="0" w:color="auto"/>
        <w:left w:val="none" w:sz="0" w:space="0" w:color="auto"/>
        <w:bottom w:val="none" w:sz="0" w:space="0" w:color="auto"/>
        <w:right w:val="none" w:sz="0" w:space="0" w:color="auto"/>
      </w:divBdr>
      <w:divsChild>
        <w:div w:id="508257682">
          <w:marLeft w:val="446"/>
          <w:marRight w:val="0"/>
          <w:marTop w:val="0"/>
          <w:marBottom w:val="0"/>
          <w:divBdr>
            <w:top w:val="none" w:sz="0" w:space="0" w:color="auto"/>
            <w:left w:val="none" w:sz="0" w:space="0" w:color="auto"/>
            <w:bottom w:val="none" w:sz="0" w:space="0" w:color="auto"/>
            <w:right w:val="none" w:sz="0" w:space="0" w:color="auto"/>
          </w:divBdr>
        </w:div>
        <w:div w:id="882449362">
          <w:marLeft w:val="446"/>
          <w:marRight w:val="0"/>
          <w:marTop w:val="0"/>
          <w:marBottom w:val="0"/>
          <w:divBdr>
            <w:top w:val="none" w:sz="0" w:space="0" w:color="auto"/>
            <w:left w:val="none" w:sz="0" w:space="0" w:color="auto"/>
            <w:bottom w:val="none" w:sz="0" w:space="0" w:color="auto"/>
            <w:right w:val="none" w:sz="0" w:space="0" w:color="auto"/>
          </w:divBdr>
        </w:div>
      </w:divsChild>
    </w:div>
    <w:div w:id="1152715555">
      <w:bodyDiv w:val="1"/>
      <w:marLeft w:val="0"/>
      <w:marRight w:val="0"/>
      <w:marTop w:val="0"/>
      <w:marBottom w:val="0"/>
      <w:divBdr>
        <w:top w:val="none" w:sz="0" w:space="0" w:color="auto"/>
        <w:left w:val="none" w:sz="0" w:space="0" w:color="auto"/>
        <w:bottom w:val="none" w:sz="0" w:space="0" w:color="auto"/>
        <w:right w:val="none" w:sz="0" w:space="0" w:color="auto"/>
      </w:divBdr>
      <w:divsChild>
        <w:div w:id="748968818">
          <w:marLeft w:val="547"/>
          <w:marRight w:val="0"/>
          <w:marTop w:val="0"/>
          <w:marBottom w:val="0"/>
          <w:divBdr>
            <w:top w:val="none" w:sz="0" w:space="0" w:color="auto"/>
            <w:left w:val="none" w:sz="0" w:space="0" w:color="auto"/>
            <w:bottom w:val="none" w:sz="0" w:space="0" w:color="auto"/>
            <w:right w:val="none" w:sz="0" w:space="0" w:color="auto"/>
          </w:divBdr>
        </w:div>
      </w:divsChild>
    </w:div>
    <w:div w:id="1189415329">
      <w:bodyDiv w:val="1"/>
      <w:marLeft w:val="0"/>
      <w:marRight w:val="0"/>
      <w:marTop w:val="0"/>
      <w:marBottom w:val="0"/>
      <w:divBdr>
        <w:top w:val="none" w:sz="0" w:space="0" w:color="auto"/>
        <w:left w:val="none" w:sz="0" w:space="0" w:color="auto"/>
        <w:bottom w:val="none" w:sz="0" w:space="0" w:color="auto"/>
        <w:right w:val="none" w:sz="0" w:space="0" w:color="auto"/>
      </w:divBdr>
      <w:divsChild>
        <w:div w:id="1326588468">
          <w:marLeft w:val="0"/>
          <w:marRight w:val="0"/>
          <w:marTop w:val="0"/>
          <w:marBottom w:val="0"/>
          <w:divBdr>
            <w:top w:val="none" w:sz="0" w:space="0" w:color="auto"/>
            <w:left w:val="none" w:sz="0" w:space="0" w:color="auto"/>
            <w:bottom w:val="none" w:sz="0" w:space="0" w:color="auto"/>
            <w:right w:val="none" w:sz="0" w:space="0" w:color="auto"/>
          </w:divBdr>
        </w:div>
        <w:div w:id="1592154874">
          <w:marLeft w:val="0"/>
          <w:marRight w:val="0"/>
          <w:marTop w:val="0"/>
          <w:marBottom w:val="0"/>
          <w:divBdr>
            <w:top w:val="none" w:sz="0" w:space="0" w:color="auto"/>
            <w:left w:val="none" w:sz="0" w:space="0" w:color="auto"/>
            <w:bottom w:val="none" w:sz="0" w:space="0" w:color="auto"/>
            <w:right w:val="none" w:sz="0" w:space="0" w:color="auto"/>
          </w:divBdr>
        </w:div>
      </w:divsChild>
    </w:div>
    <w:div w:id="1420833213">
      <w:bodyDiv w:val="1"/>
      <w:marLeft w:val="0"/>
      <w:marRight w:val="0"/>
      <w:marTop w:val="0"/>
      <w:marBottom w:val="0"/>
      <w:divBdr>
        <w:top w:val="none" w:sz="0" w:space="0" w:color="auto"/>
        <w:left w:val="none" w:sz="0" w:space="0" w:color="auto"/>
        <w:bottom w:val="none" w:sz="0" w:space="0" w:color="auto"/>
        <w:right w:val="none" w:sz="0" w:space="0" w:color="auto"/>
      </w:divBdr>
    </w:div>
    <w:div w:id="1433476825">
      <w:bodyDiv w:val="1"/>
      <w:marLeft w:val="0"/>
      <w:marRight w:val="0"/>
      <w:marTop w:val="0"/>
      <w:marBottom w:val="0"/>
      <w:divBdr>
        <w:top w:val="none" w:sz="0" w:space="0" w:color="auto"/>
        <w:left w:val="none" w:sz="0" w:space="0" w:color="auto"/>
        <w:bottom w:val="none" w:sz="0" w:space="0" w:color="auto"/>
        <w:right w:val="none" w:sz="0" w:space="0" w:color="auto"/>
      </w:divBdr>
    </w:div>
    <w:div w:id="1441872278">
      <w:bodyDiv w:val="1"/>
      <w:marLeft w:val="0"/>
      <w:marRight w:val="0"/>
      <w:marTop w:val="0"/>
      <w:marBottom w:val="0"/>
      <w:divBdr>
        <w:top w:val="none" w:sz="0" w:space="0" w:color="auto"/>
        <w:left w:val="none" w:sz="0" w:space="0" w:color="auto"/>
        <w:bottom w:val="none" w:sz="0" w:space="0" w:color="auto"/>
        <w:right w:val="none" w:sz="0" w:space="0" w:color="auto"/>
      </w:divBdr>
    </w:div>
    <w:div w:id="1458143116">
      <w:bodyDiv w:val="1"/>
      <w:marLeft w:val="0"/>
      <w:marRight w:val="0"/>
      <w:marTop w:val="0"/>
      <w:marBottom w:val="0"/>
      <w:divBdr>
        <w:top w:val="none" w:sz="0" w:space="0" w:color="auto"/>
        <w:left w:val="none" w:sz="0" w:space="0" w:color="auto"/>
        <w:bottom w:val="none" w:sz="0" w:space="0" w:color="auto"/>
        <w:right w:val="none" w:sz="0" w:space="0" w:color="auto"/>
      </w:divBdr>
    </w:div>
    <w:div w:id="1492678227">
      <w:bodyDiv w:val="1"/>
      <w:marLeft w:val="0"/>
      <w:marRight w:val="0"/>
      <w:marTop w:val="0"/>
      <w:marBottom w:val="0"/>
      <w:divBdr>
        <w:top w:val="none" w:sz="0" w:space="0" w:color="auto"/>
        <w:left w:val="none" w:sz="0" w:space="0" w:color="auto"/>
        <w:bottom w:val="none" w:sz="0" w:space="0" w:color="auto"/>
        <w:right w:val="none" w:sz="0" w:space="0" w:color="auto"/>
      </w:divBdr>
    </w:div>
    <w:div w:id="1576238586">
      <w:bodyDiv w:val="1"/>
      <w:marLeft w:val="0"/>
      <w:marRight w:val="0"/>
      <w:marTop w:val="0"/>
      <w:marBottom w:val="0"/>
      <w:divBdr>
        <w:top w:val="none" w:sz="0" w:space="0" w:color="auto"/>
        <w:left w:val="none" w:sz="0" w:space="0" w:color="auto"/>
        <w:bottom w:val="none" w:sz="0" w:space="0" w:color="auto"/>
        <w:right w:val="none" w:sz="0" w:space="0" w:color="auto"/>
      </w:divBdr>
    </w:div>
    <w:div w:id="1584484276">
      <w:bodyDiv w:val="1"/>
      <w:marLeft w:val="0"/>
      <w:marRight w:val="0"/>
      <w:marTop w:val="0"/>
      <w:marBottom w:val="0"/>
      <w:divBdr>
        <w:top w:val="none" w:sz="0" w:space="0" w:color="auto"/>
        <w:left w:val="none" w:sz="0" w:space="0" w:color="auto"/>
        <w:bottom w:val="none" w:sz="0" w:space="0" w:color="auto"/>
        <w:right w:val="none" w:sz="0" w:space="0" w:color="auto"/>
      </w:divBdr>
    </w:div>
    <w:div w:id="1679193193">
      <w:bodyDiv w:val="1"/>
      <w:marLeft w:val="0"/>
      <w:marRight w:val="0"/>
      <w:marTop w:val="0"/>
      <w:marBottom w:val="0"/>
      <w:divBdr>
        <w:top w:val="none" w:sz="0" w:space="0" w:color="auto"/>
        <w:left w:val="none" w:sz="0" w:space="0" w:color="auto"/>
        <w:bottom w:val="none" w:sz="0" w:space="0" w:color="auto"/>
        <w:right w:val="none" w:sz="0" w:space="0" w:color="auto"/>
      </w:divBdr>
    </w:div>
    <w:div w:id="1737893430">
      <w:bodyDiv w:val="1"/>
      <w:marLeft w:val="0"/>
      <w:marRight w:val="0"/>
      <w:marTop w:val="0"/>
      <w:marBottom w:val="0"/>
      <w:divBdr>
        <w:top w:val="none" w:sz="0" w:space="0" w:color="auto"/>
        <w:left w:val="none" w:sz="0" w:space="0" w:color="auto"/>
        <w:bottom w:val="none" w:sz="0" w:space="0" w:color="auto"/>
        <w:right w:val="none" w:sz="0" w:space="0" w:color="auto"/>
      </w:divBdr>
    </w:div>
    <w:div w:id="1791053521">
      <w:bodyDiv w:val="1"/>
      <w:marLeft w:val="0"/>
      <w:marRight w:val="0"/>
      <w:marTop w:val="0"/>
      <w:marBottom w:val="0"/>
      <w:divBdr>
        <w:top w:val="none" w:sz="0" w:space="0" w:color="auto"/>
        <w:left w:val="none" w:sz="0" w:space="0" w:color="auto"/>
        <w:bottom w:val="none" w:sz="0" w:space="0" w:color="auto"/>
        <w:right w:val="none" w:sz="0" w:space="0" w:color="auto"/>
      </w:divBdr>
    </w:div>
    <w:div w:id="1926957750">
      <w:bodyDiv w:val="1"/>
      <w:marLeft w:val="0"/>
      <w:marRight w:val="0"/>
      <w:marTop w:val="0"/>
      <w:marBottom w:val="0"/>
      <w:divBdr>
        <w:top w:val="none" w:sz="0" w:space="0" w:color="auto"/>
        <w:left w:val="none" w:sz="0" w:space="0" w:color="auto"/>
        <w:bottom w:val="none" w:sz="0" w:space="0" w:color="auto"/>
        <w:right w:val="none" w:sz="0" w:space="0" w:color="auto"/>
      </w:divBdr>
    </w:div>
    <w:div w:id="1946696169">
      <w:bodyDiv w:val="1"/>
      <w:marLeft w:val="0"/>
      <w:marRight w:val="0"/>
      <w:marTop w:val="0"/>
      <w:marBottom w:val="0"/>
      <w:divBdr>
        <w:top w:val="none" w:sz="0" w:space="0" w:color="auto"/>
        <w:left w:val="none" w:sz="0" w:space="0" w:color="auto"/>
        <w:bottom w:val="none" w:sz="0" w:space="0" w:color="auto"/>
        <w:right w:val="none" w:sz="0" w:space="0" w:color="auto"/>
      </w:divBdr>
      <w:divsChild>
        <w:div w:id="1721902795">
          <w:marLeft w:val="0"/>
          <w:marRight w:val="0"/>
          <w:marTop w:val="0"/>
          <w:marBottom w:val="0"/>
          <w:divBdr>
            <w:top w:val="none" w:sz="0" w:space="0" w:color="auto"/>
            <w:left w:val="none" w:sz="0" w:space="0" w:color="auto"/>
            <w:bottom w:val="none" w:sz="0" w:space="0" w:color="auto"/>
            <w:right w:val="none" w:sz="0" w:space="0" w:color="auto"/>
          </w:divBdr>
          <w:divsChild>
            <w:div w:id="817107808">
              <w:marLeft w:val="0"/>
              <w:marRight w:val="0"/>
              <w:marTop w:val="0"/>
              <w:marBottom w:val="0"/>
              <w:divBdr>
                <w:top w:val="none" w:sz="0" w:space="0" w:color="auto"/>
                <w:left w:val="none" w:sz="0" w:space="0" w:color="auto"/>
                <w:bottom w:val="none" w:sz="0" w:space="0" w:color="auto"/>
                <w:right w:val="none" w:sz="0" w:space="0" w:color="auto"/>
              </w:divBdr>
              <w:divsChild>
                <w:div w:id="1973097605">
                  <w:marLeft w:val="0"/>
                  <w:marRight w:val="0"/>
                  <w:marTop w:val="0"/>
                  <w:marBottom w:val="0"/>
                  <w:divBdr>
                    <w:top w:val="none" w:sz="0" w:space="0" w:color="auto"/>
                    <w:left w:val="none" w:sz="0" w:space="0" w:color="auto"/>
                    <w:bottom w:val="none" w:sz="0" w:space="0" w:color="auto"/>
                    <w:right w:val="none" w:sz="0" w:space="0" w:color="auto"/>
                  </w:divBdr>
                  <w:divsChild>
                    <w:div w:id="8621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455027">
          <w:marLeft w:val="0"/>
          <w:marRight w:val="0"/>
          <w:marTop w:val="0"/>
          <w:marBottom w:val="0"/>
          <w:divBdr>
            <w:top w:val="none" w:sz="0" w:space="0" w:color="auto"/>
            <w:left w:val="none" w:sz="0" w:space="0" w:color="auto"/>
            <w:bottom w:val="none" w:sz="0" w:space="0" w:color="auto"/>
            <w:right w:val="none" w:sz="0" w:space="0" w:color="auto"/>
          </w:divBdr>
          <w:divsChild>
            <w:div w:id="1220286675">
              <w:marLeft w:val="0"/>
              <w:marRight w:val="0"/>
              <w:marTop w:val="0"/>
              <w:marBottom w:val="0"/>
              <w:divBdr>
                <w:top w:val="none" w:sz="0" w:space="0" w:color="auto"/>
                <w:left w:val="none" w:sz="0" w:space="0" w:color="auto"/>
                <w:bottom w:val="none" w:sz="0" w:space="0" w:color="auto"/>
                <w:right w:val="none" w:sz="0" w:space="0" w:color="auto"/>
              </w:divBdr>
              <w:divsChild>
                <w:div w:id="680013055">
                  <w:marLeft w:val="0"/>
                  <w:marRight w:val="0"/>
                  <w:marTop w:val="0"/>
                  <w:marBottom w:val="0"/>
                  <w:divBdr>
                    <w:top w:val="none" w:sz="0" w:space="0" w:color="auto"/>
                    <w:left w:val="none" w:sz="0" w:space="0" w:color="auto"/>
                    <w:bottom w:val="none" w:sz="0" w:space="0" w:color="auto"/>
                    <w:right w:val="none" w:sz="0" w:space="0" w:color="auto"/>
                  </w:divBdr>
                  <w:divsChild>
                    <w:div w:id="102579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955585">
      <w:bodyDiv w:val="1"/>
      <w:marLeft w:val="0"/>
      <w:marRight w:val="0"/>
      <w:marTop w:val="0"/>
      <w:marBottom w:val="0"/>
      <w:divBdr>
        <w:top w:val="none" w:sz="0" w:space="0" w:color="auto"/>
        <w:left w:val="none" w:sz="0" w:space="0" w:color="auto"/>
        <w:bottom w:val="none" w:sz="0" w:space="0" w:color="auto"/>
        <w:right w:val="none" w:sz="0" w:space="0" w:color="auto"/>
      </w:divBdr>
      <w:divsChild>
        <w:div w:id="4135866">
          <w:marLeft w:val="0"/>
          <w:marRight w:val="0"/>
          <w:marTop w:val="0"/>
          <w:marBottom w:val="0"/>
          <w:divBdr>
            <w:top w:val="none" w:sz="0" w:space="0" w:color="auto"/>
            <w:left w:val="none" w:sz="0" w:space="0" w:color="auto"/>
            <w:bottom w:val="none" w:sz="0" w:space="0" w:color="auto"/>
            <w:right w:val="none" w:sz="0" w:space="0" w:color="auto"/>
          </w:divBdr>
          <w:divsChild>
            <w:div w:id="1526408678">
              <w:marLeft w:val="0"/>
              <w:marRight w:val="0"/>
              <w:marTop w:val="0"/>
              <w:marBottom w:val="0"/>
              <w:divBdr>
                <w:top w:val="none" w:sz="0" w:space="0" w:color="auto"/>
                <w:left w:val="none" w:sz="0" w:space="0" w:color="auto"/>
                <w:bottom w:val="none" w:sz="0" w:space="0" w:color="auto"/>
                <w:right w:val="none" w:sz="0" w:space="0" w:color="auto"/>
              </w:divBdr>
            </w:div>
          </w:divsChild>
        </w:div>
        <w:div w:id="12466149">
          <w:marLeft w:val="0"/>
          <w:marRight w:val="0"/>
          <w:marTop w:val="0"/>
          <w:marBottom w:val="0"/>
          <w:divBdr>
            <w:top w:val="none" w:sz="0" w:space="0" w:color="auto"/>
            <w:left w:val="none" w:sz="0" w:space="0" w:color="auto"/>
            <w:bottom w:val="none" w:sz="0" w:space="0" w:color="auto"/>
            <w:right w:val="none" w:sz="0" w:space="0" w:color="auto"/>
          </w:divBdr>
          <w:divsChild>
            <w:div w:id="1043168979">
              <w:marLeft w:val="0"/>
              <w:marRight w:val="0"/>
              <w:marTop w:val="0"/>
              <w:marBottom w:val="0"/>
              <w:divBdr>
                <w:top w:val="none" w:sz="0" w:space="0" w:color="auto"/>
                <w:left w:val="none" w:sz="0" w:space="0" w:color="auto"/>
                <w:bottom w:val="none" w:sz="0" w:space="0" w:color="auto"/>
                <w:right w:val="none" w:sz="0" w:space="0" w:color="auto"/>
              </w:divBdr>
            </w:div>
          </w:divsChild>
        </w:div>
        <w:div w:id="18825853">
          <w:marLeft w:val="0"/>
          <w:marRight w:val="0"/>
          <w:marTop w:val="0"/>
          <w:marBottom w:val="0"/>
          <w:divBdr>
            <w:top w:val="none" w:sz="0" w:space="0" w:color="auto"/>
            <w:left w:val="none" w:sz="0" w:space="0" w:color="auto"/>
            <w:bottom w:val="none" w:sz="0" w:space="0" w:color="auto"/>
            <w:right w:val="none" w:sz="0" w:space="0" w:color="auto"/>
          </w:divBdr>
          <w:divsChild>
            <w:div w:id="24988053">
              <w:marLeft w:val="0"/>
              <w:marRight w:val="0"/>
              <w:marTop w:val="0"/>
              <w:marBottom w:val="0"/>
              <w:divBdr>
                <w:top w:val="none" w:sz="0" w:space="0" w:color="auto"/>
                <w:left w:val="none" w:sz="0" w:space="0" w:color="auto"/>
                <w:bottom w:val="none" w:sz="0" w:space="0" w:color="auto"/>
                <w:right w:val="none" w:sz="0" w:space="0" w:color="auto"/>
              </w:divBdr>
            </w:div>
          </w:divsChild>
        </w:div>
        <w:div w:id="54470900">
          <w:marLeft w:val="0"/>
          <w:marRight w:val="0"/>
          <w:marTop w:val="0"/>
          <w:marBottom w:val="0"/>
          <w:divBdr>
            <w:top w:val="none" w:sz="0" w:space="0" w:color="auto"/>
            <w:left w:val="none" w:sz="0" w:space="0" w:color="auto"/>
            <w:bottom w:val="none" w:sz="0" w:space="0" w:color="auto"/>
            <w:right w:val="none" w:sz="0" w:space="0" w:color="auto"/>
          </w:divBdr>
          <w:divsChild>
            <w:div w:id="1793742150">
              <w:marLeft w:val="0"/>
              <w:marRight w:val="0"/>
              <w:marTop w:val="0"/>
              <w:marBottom w:val="0"/>
              <w:divBdr>
                <w:top w:val="none" w:sz="0" w:space="0" w:color="auto"/>
                <w:left w:val="none" w:sz="0" w:space="0" w:color="auto"/>
                <w:bottom w:val="none" w:sz="0" w:space="0" w:color="auto"/>
                <w:right w:val="none" w:sz="0" w:space="0" w:color="auto"/>
              </w:divBdr>
            </w:div>
          </w:divsChild>
        </w:div>
        <w:div w:id="121114048">
          <w:marLeft w:val="0"/>
          <w:marRight w:val="0"/>
          <w:marTop w:val="0"/>
          <w:marBottom w:val="0"/>
          <w:divBdr>
            <w:top w:val="none" w:sz="0" w:space="0" w:color="auto"/>
            <w:left w:val="none" w:sz="0" w:space="0" w:color="auto"/>
            <w:bottom w:val="none" w:sz="0" w:space="0" w:color="auto"/>
            <w:right w:val="none" w:sz="0" w:space="0" w:color="auto"/>
          </w:divBdr>
          <w:divsChild>
            <w:div w:id="994800448">
              <w:marLeft w:val="0"/>
              <w:marRight w:val="0"/>
              <w:marTop w:val="0"/>
              <w:marBottom w:val="0"/>
              <w:divBdr>
                <w:top w:val="none" w:sz="0" w:space="0" w:color="auto"/>
                <w:left w:val="none" w:sz="0" w:space="0" w:color="auto"/>
                <w:bottom w:val="none" w:sz="0" w:space="0" w:color="auto"/>
                <w:right w:val="none" w:sz="0" w:space="0" w:color="auto"/>
              </w:divBdr>
            </w:div>
          </w:divsChild>
        </w:div>
        <w:div w:id="200559549">
          <w:marLeft w:val="0"/>
          <w:marRight w:val="0"/>
          <w:marTop w:val="0"/>
          <w:marBottom w:val="0"/>
          <w:divBdr>
            <w:top w:val="none" w:sz="0" w:space="0" w:color="auto"/>
            <w:left w:val="none" w:sz="0" w:space="0" w:color="auto"/>
            <w:bottom w:val="none" w:sz="0" w:space="0" w:color="auto"/>
            <w:right w:val="none" w:sz="0" w:space="0" w:color="auto"/>
          </w:divBdr>
          <w:divsChild>
            <w:div w:id="22176295">
              <w:marLeft w:val="0"/>
              <w:marRight w:val="0"/>
              <w:marTop w:val="0"/>
              <w:marBottom w:val="0"/>
              <w:divBdr>
                <w:top w:val="none" w:sz="0" w:space="0" w:color="auto"/>
                <w:left w:val="none" w:sz="0" w:space="0" w:color="auto"/>
                <w:bottom w:val="none" w:sz="0" w:space="0" w:color="auto"/>
                <w:right w:val="none" w:sz="0" w:space="0" w:color="auto"/>
              </w:divBdr>
            </w:div>
          </w:divsChild>
        </w:div>
        <w:div w:id="202984046">
          <w:marLeft w:val="0"/>
          <w:marRight w:val="0"/>
          <w:marTop w:val="0"/>
          <w:marBottom w:val="0"/>
          <w:divBdr>
            <w:top w:val="none" w:sz="0" w:space="0" w:color="auto"/>
            <w:left w:val="none" w:sz="0" w:space="0" w:color="auto"/>
            <w:bottom w:val="none" w:sz="0" w:space="0" w:color="auto"/>
            <w:right w:val="none" w:sz="0" w:space="0" w:color="auto"/>
          </w:divBdr>
          <w:divsChild>
            <w:div w:id="2045979378">
              <w:marLeft w:val="0"/>
              <w:marRight w:val="0"/>
              <w:marTop w:val="0"/>
              <w:marBottom w:val="0"/>
              <w:divBdr>
                <w:top w:val="none" w:sz="0" w:space="0" w:color="auto"/>
                <w:left w:val="none" w:sz="0" w:space="0" w:color="auto"/>
                <w:bottom w:val="none" w:sz="0" w:space="0" w:color="auto"/>
                <w:right w:val="none" w:sz="0" w:space="0" w:color="auto"/>
              </w:divBdr>
            </w:div>
          </w:divsChild>
        </w:div>
        <w:div w:id="314069504">
          <w:marLeft w:val="0"/>
          <w:marRight w:val="0"/>
          <w:marTop w:val="0"/>
          <w:marBottom w:val="0"/>
          <w:divBdr>
            <w:top w:val="none" w:sz="0" w:space="0" w:color="auto"/>
            <w:left w:val="none" w:sz="0" w:space="0" w:color="auto"/>
            <w:bottom w:val="none" w:sz="0" w:space="0" w:color="auto"/>
            <w:right w:val="none" w:sz="0" w:space="0" w:color="auto"/>
          </w:divBdr>
          <w:divsChild>
            <w:div w:id="87848999">
              <w:marLeft w:val="0"/>
              <w:marRight w:val="0"/>
              <w:marTop w:val="0"/>
              <w:marBottom w:val="0"/>
              <w:divBdr>
                <w:top w:val="none" w:sz="0" w:space="0" w:color="auto"/>
                <w:left w:val="none" w:sz="0" w:space="0" w:color="auto"/>
                <w:bottom w:val="none" w:sz="0" w:space="0" w:color="auto"/>
                <w:right w:val="none" w:sz="0" w:space="0" w:color="auto"/>
              </w:divBdr>
            </w:div>
          </w:divsChild>
        </w:div>
        <w:div w:id="324668764">
          <w:marLeft w:val="0"/>
          <w:marRight w:val="0"/>
          <w:marTop w:val="0"/>
          <w:marBottom w:val="0"/>
          <w:divBdr>
            <w:top w:val="none" w:sz="0" w:space="0" w:color="auto"/>
            <w:left w:val="none" w:sz="0" w:space="0" w:color="auto"/>
            <w:bottom w:val="none" w:sz="0" w:space="0" w:color="auto"/>
            <w:right w:val="none" w:sz="0" w:space="0" w:color="auto"/>
          </w:divBdr>
          <w:divsChild>
            <w:div w:id="218056636">
              <w:marLeft w:val="0"/>
              <w:marRight w:val="0"/>
              <w:marTop w:val="0"/>
              <w:marBottom w:val="0"/>
              <w:divBdr>
                <w:top w:val="none" w:sz="0" w:space="0" w:color="auto"/>
                <w:left w:val="none" w:sz="0" w:space="0" w:color="auto"/>
                <w:bottom w:val="none" w:sz="0" w:space="0" w:color="auto"/>
                <w:right w:val="none" w:sz="0" w:space="0" w:color="auto"/>
              </w:divBdr>
            </w:div>
          </w:divsChild>
        </w:div>
        <w:div w:id="347370186">
          <w:marLeft w:val="0"/>
          <w:marRight w:val="0"/>
          <w:marTop w:val="0"/>
          <w:marBottom w:val="0"/>
          <w:divBdr>
            <w:top w:val="none" w:sz="0" w:space="0" w:color="auto"/>
            <w:left w:val="none" w:sz="0" w:space="0" w:color="auto"/>
            <w:bottom w:val="none" w:sz="0" w:space="0" w:color="auto"/>
            <w:right w:val="none" w:sz="0" w:space="0" w:color="auto"/>
          </w:divBdr>
          <w:divsChild>
            <w:div w:id="1611162421">
              <w:marLeft w:val="0"/>
              <w:marRight w:val="0"/>
              <w:marTop w:val="0"/>
              <w:marBottom w:val="0"/>
              <w:divBdr>
                <w:top w:val="none" w:sz="0" w:space="0" w:color="auto"/>
                <w:left w:val="none" w:sz="0" w:space="0" w:color="auto"/>
                <w:bottom w:val="none" w:sz="0" w:space="0" w:color="auto"/>
                <w:right w:val="none" w:sz="0" w:space="0" w:color="auto"/>
              </w:divBdr>
            </w:div>
          </w:divsChild>
        </w:div>
        <w:div w:id="376124704">
          <w:marLeft w:val="0"/>
          <w:marRight w:val="0"/>
          <w:marTop w:val="0"/>
          <w:marBottom w:val="0"/>
          <w:divBdr>
            <w:top w:val="none" w:sz="0" w:space="0" w:color="auto"/>
            <w:left w:val="none" w:sz="0" w:space="0" w:color="auto"/>
            <w:bottom w:val="none" w:sz="0" w:space="0" w:color="auto"/>
            <w:right w:val="none" w:sz="0" w:space="0" w:color="auto"/>
          </w:divBdr>
          <w:divsChild>
            <w:div w:id="1471940702">
              <w:marLeft w:val="0"/>
              <w:marRight w:val="0"/>
              <w:marTop w:val="0"/>
              <w:marBottom w:val="0"/>
              <w:divBdr>
                <w:top w:val="none" w:sz="0" w:space="0" w:color="auto"/>
                <w:left w:val="none" w:sz="0" w:space="0" w:color="auto"/>
                <w:bottom w:val="none" w:sz="0" w:space="0" w:color="auto"/>
                <w:right w:val="none" w:sz="0" w:space="0" w:color="auto"/>
              </w:divBdr>
            </w:div>
          </w:divsChild>
        </w:div>
        <w:div w:id="438376160">
          <w:marLeft w:val="0"/>
          <w:marRight w:val="0"/>
          <w:marTop w:val="0"/>
          <w:marBottom w:val="0"/>
          <w:divBdr>
            <w:top w:val="none" w:sz="0" w:space="0" w:color="auto"/>
            <w:left w:val="none" w:sz="0" w:space="0" w:color="auto"/>
            <w:bottom w:val="none" w:sz="0" w:space="0" w:color="auto"/>
            <w:right w:val="none" w:sz="0" w:space="0" w:color="auto"/>
          </w:divBdr>
          <w:divsChild>
            <w:div w:id="1073284130">
              <w:marLeft w:val="0"/>
              <w:marRight w:val="0"/>
              <w:marTop w:val="0"/>
              <w:marBottom w:val="0"/>
              <w:divBdr>
                <w:top w:val="none" w:sz="0" w:space="0" w:color="auto"/>
                <w:left w:val="none" w:sz="0" w:space="0" w:color="auto"/>
                <w:bottom w:val="none" w:sz="0" w:space="0" w:color="auto"/>
                <w:right w:val="none" w:sz="0" w:space="0" w:color="auto"/>
              </w:divBdr>
            </w:div>
          </w:divsChild>
        </w:div>
        <w:div w:id="464156958">
          <w:marLeft w:val="0"/>
          <w:marRight w:val="0"/>
          <w:marTop w:val="0"/>
          <w:marBottom w:val="0"/>
          <w:divBdr>
            <w:top w:val="none" w:sz="0" w:space="0" w:color="auto"/>
            <w:left w:val="none" w:sz="0" w:space="0" w:color="auto"/>
            <w:bottom w:val="none" w:sz="0" w:space="0" w:color="auto"/>
            <w:right w:val="none" w:sz="0" w:space="0" w:color="auto"/>
          </w:divBdr>
          <w:divsChild>
            <w:div w:id="697393443">
              <w:marLeft w:val="0"/>
              <w:marRight w:val="0"/>
              <w:marTop w:val="0"/>
              <w:marBottom w:val="0"/>
              <w:divBdr>
                <w:top w:val="none" w:sz="0" w:space="0" w:color="auto"/>
                <w:left w:val="none" w:sz="0" w:space="0" w:color="auto"/>
                <w:bottom w:val="none" w:sz="0" w:space="0" w:color="auto"/>
                <w:right w:val="none" w:sz="0" w:space="0" w:color="auto"/>
              </w:divBdr>
            </w:div>
          </w:divsChild>
        </w:div>
        <w:div w:id="474101242">
          <w:marLeft w:val="0"/>
          <w:marRight w:val="0"/>
          <w:marTop w:val="0"/>
          <w:marBottom w:val="0"/>
          <w:divBdr>
            <w:top w:val="none" w:sz="0" w:space="0" w:color="auto"/>
            <w:left w:val="none" w:sz="0" w:space="0" w:color="auto"/>
            <w:bottom w:val="none" w:sz="0" w:space="0" w:color="auto"/>
            <w:right w:val="none" w:sz="0" w:space="0" w:color="auto"/>
          </w:divBdr>
          <w:divsChild>
            <w:div w:id="1921450028">
              <w:marLeft w:val="0"/>
              <w:marRight w:val="0"/>
              <w:marTop w:val="0"/>
              <w:marBottom w:val="0"/>
              <w:divBdr>
                <w:top w:val="none" w:sz="0" w:space="0" w:color="auto"/>
                <w:left w:val="none" w:sz="0" w:space="0" w:color="auto"/>
                <w:bottom w:val="none" w:sz="0" w:space="0" w:color="auto"/>
                <w:right w:val="none" w:sz="0" w:space="0" w:color="auto"/>
              </w:divBdr>
            </w:div>
          </w:divsChild>
        </w:div>
        <w:div w:id="502666915">
          <w:marLeft w:val="0"/>
          <w:marRight w:val="0"/>
          <w:marTop w:val="0"/>
          <w:marBottom w:val="0"/>
          <w:divBdr>
            <w:top w:val="none" w:sz="0" w:space="0" w:color="auto"/>
            <w:left w:val="none" w:sz="0" w:space="0" w:color="auto"/>
            <w:bottom w:val="none" w:sz="0" w:space="0" w:color="auto"/>
            <w:right w:val="none" w:sz="0" w:space="0" w:color="auto"/>
          </w:divBdr>
          <w:divsChild>
            <w:div w:id="1032266185">
              <w:marLeft w:val="0"/>
              <w:marRight w:val="0"/>
              <w:marTop w:val="0"/>
              <w:marBottom w:val="0"/>
              <w:divBdr>
                <w:top w:val="none" w:sz="0" w:space="0" w:color="auto"/>
                <w:left w:val="none" w:sz="0" w:space="0" w:color="auto"/>
                <w:bottom w:val="none" w:sz="0" w:space="0" w:color="auto"/>
                <w:right w:val="none" w:sz="0" w:space="0" w:color="auto"/>
              </w:divBdr>
            </w:div>
          </w:divsChild>
        </w:div>
        <w:div w:id="529147441">
          <w:marLeft w:val="0"/>
          <w:marRight w:val="0"/>
          <w:marTop w:val="0"/>
          <w:marBottom w:val="0"/>
          <w:divBdr>
            <w:top w:val="none" w:sz="0" w:space="0" w:color="auto"/>
            <w:left w:val="none" w:sz="0" w:space="0" w:color="auto"/>
            <w:bottom w:val="none" w:sz="0" w:space="0" w:color="auto"/>
            <w:right w:val="none" w:sz="0" w:space="0" w:color="auto"/>
          </w:divBdr>
          <w:divsChild>
            <w:div w:id="594439673">
              <w:marLeft w:val="0"/>
              <w:marRight w:val="0"/>
              <w:marTop w:val="0"/>
              <w:marBottom w:val="0"/>
              <w:divBdr>
                <w:top w:val="none" w:sz="0" w:space="0" w:color="auto"/>
                <w:left w:val="none" w:sz="0" w:space="0" w:color="auto"/>
                <w:bottom w:val="none" w:sz="0" w:space="0" w:color="auto"/>
                <w:right w:val="none" w:sz="0" w:space="0" w:color="auto"/>
              </w:divBdr>
            </w:div>
          </w:divsChild>
        </w:div>
        <w:div w:id="562836945">
          <w:marLeft w:val="0"/>
          <w:marRight w:val="0"/>
          <w:marTop w:val="0"/>
          <w:marBottom w:val="0"/>
          <w:divBdr>
            <w:top w:val="none" w:sz="0" w:space="0" w:color="auto"/>
            <w:left w:val="none" w:sz="0" w:space="0" w:color="auto"/>
            <w:bottom w:val="none" w:sz="0" w:space="0" w:color="auto"/>
            <w:right w:val="none" w:sz="0" w:space="0" w:color="auto"/>
          </w:divBdr>
          <w:divsChild>
            <w:div w:id="12536064">
              <w:marLeft w:val="0"/>
              <w:marRight w:val="0"/>
              <w:marTop w:val="0"/>
              <w:marBottom w:val="0"/>
              <w:divBdr>
                <w:top w:val="none" w:sz="0" w:space="0" w:color="auto"/>
                <w:left w:val="none" w:sz="0" w:space="0" w:color="auto"/>
                <w:bottom w:val="none" w:sz="0" w:space="0" w:color="auto"/>
                <w:right w:val="none" w:sz="0" w:space="0" w:color="auto"/>
              </w:divBdr>
            </w:div>
          </w:divsChild>
        </w:div>
        <w:div w:id="598224510">
          <w:marLeft w:val="0"/>
          <w:marRight w:val="0"/>
          <w:marTop w:val="0"/>
          <w:marBottom w:val="0"/>
          <w:divBdr>
            <w:top w:val="none" w:sz="0" w:space="0" w:color="auto"/>
            <w:left w:val="none" w:sz="0" w:space="0" w:color="auto"/>
            <w:bottom w:val="none" w:sz="0" w:space="0" w:color="auto"/>
            <w:right w:val="none" w:sz="0" w:space="0" w:color="auto"/>
          </w:divBdr>
          <w:divsChild>
            <w:div w:id="372317183">
              <w:marLeft w:val="0"/>
              <w:marRight w:val="0"/>
              <w:marTop w:val="0"/>
              <w:marBottom w:val="0"/>
              <w:divBdr>
                <w:top w:val="none" w:sz="0" w:space="0" w:color="auto"/>
                <w:left w:val="none" w:sz="0" w:space="0" w:color="auto"/>
                <w:bottom w:val="none" w:sz="0" w:space="0" w:color="auto"/>
                <w:right w:val="none" w:sz="0" w:space="0" w:color="auto"/>
              </w:divBdr>
            </w:div>
          </w:divsChild>
        </w:div>
        <w:div w:id="651325521">
          <w:marLeft w:val="0"/>
          <w:marRight w:val="0"/>
          <w:marTop w:val="0"/>
          <w:marBottom w:val="0"/>
          <w:divBdr>
            <w:top w:val="none" w:sz="0" w:space="0" w:color="auto"/>
            <w:left w:val="none" w:sz="0" w:space="0" w:color="auto"/>
            <w:bottom w:val="none" w:sz="0" w:space="0" w:color="auto"/>
            <w:right w:val="none" w:sz="0" w:space="0" w:color="auto"/>
          </w:divBdr>
          <w:divsChild>
            <w:div w:id="484591762">
              <w:marLeft w:val="0"/>
              <w:marRight w:val="0"/>
              <w:marTop w:val="0"/>
              <w:marBottom w:val="0"/>
              <w:divBdr>
                <w:top w:val="none" w:sz="0" w:space="0" w:color="auto"/>
                <w:left w:val="none" w:sz="0" w:space="0" w:color="auto"/>
                <w:bottom w:val="none" w:sz="0" w:space="0" w:color="auto"/>
                <w:right w:val="none" w:sz="0" w:space="0" w:color="auto"/>
              </w:divBdr>
            </w:div>
          </w:divsChild>
        </w:div>
        <w:div w:id="658078971">
          <w:marLeft w:val="0"/>
          <w:marRight w:val="0"/>
          <w:marTop w:val="0"/>
          <w:marBottom w:val="0"/>
          <w:divBdr>
            <w:top w:val="none" w:sz="0" w:space="0" w:color="auto"/>
            <w:left w:val="none" w:sz="0" w:space="0" w:color="auto"/>
            <w:bottom w:val="none" w:sz="0" w:space="0" w:color="auto"/>
            <w:right w:val="none" w:sz="0" w:space="0" w:color="auto"/>
          </w:divBdr>
          <w:divsChild>
            <w:div w:id="872617543">
              <w:marLeft w:val="0"/>
              <w:marRight w:val="0"/>
              <w:marTop w:val="0"/>
              <w:marBottom w:val="0"/>
              <w:divBdr>
                <w:top w:val="none" w:sz="0" w:space="0" w:color="auto"/>
                <w:left w:val="none" w:sz="0" w:space="0" w:color="auto"/>
                <w:bottom w:val="none" w:sz="0" w:space="0" w:color="auto"/>
                <w:right w:val="none" w:sz="0" w:space="0" w:color="auto"/>
              </w:divBdr>
            </w:div>
          </w:divsChild>
        </w:div>
        <w:div w:id="669406008">
          <w:marLeft w:val="0"/>
          <w:marRight w:val="0"/>
          <w:marTop w:val="0"/>
          <w:marBottom w:val="0"/>
          <w:divBdr>
            <w:top w:val="none" w:sz="0" w:space="0" w:color="auto"/>
            <w:left w:val="none" w:sz="0" w:space="0" w:color="auto"/>
            <w:bottom w:val="none" w:sz="0" w:space="0" w:color="auto"/>
            <w:right w:val="none" w:sz="0" w:space="0" w:color="auto"/>
          </w:divBdr>
          <w:divsChild>
            <w:div w:id="766004023">
              <w:marLeft w:val="0"/>
              <w:marRight w:val="0"/>
              <w:marTop w:val="0"/>
              <w:marBottom w:val="0"/>
              <w:divBdr>
                <w:top w:val="none" w:sz="0" w:space="0" w:color="auto"/>
                <w:left w:val="none" w:sz="0" w:space="0" w:color="auto"/>
                <w:bottom w:val="none" w:sz="0" w:space="0" w:color="auto"/>
                <w:right w:val="none" w:sz="0" w:space="0" w:color="auto"/>
              </w:divBdr>
            </w:div>
          </w:divsChild>
        </w:div>
        <w:div w:id="673917674">
          <w:marLeft w:val="0"/>
          <w:marRight w:val="0"/>
          <w:marTop w:val="0"/>
          <w:marBottom w:val="0"/>
          <w:divBdr>
            <w:top w:val="none" w:sz="0" w:space="0" w:color="auto"/>
            <w:left w:val="none" w:sz="0" w:space="0" w:color="auto"/>
            <w:bottom w:val="none" w:sz="0" w:space="0" w:color="auto"/>
            <w:right w:val="none" w:sz="0" w:space="0" w:color="auto"/>
          </w:divBdr>
          <w:divsChild>
            <w:div w:id="818885083">
              <w:marLeft w:val="0"/>
              <w:marRight w:val="0"/>
              <w:marTop w:val="0"/>
              <w:marBottom w:val="0"/>
              <w:divBdr>
                <w:top w:val="none" w:sz="0" w:space="0" w:color="auto"/>
                <w:left w:val="none" w:sz="0" w:space="0" w:color="auto"/>
                <w:bottom w:val="none" w:sz="0" w:space="0" w:color="auto"/>
                <w:right w:val="none" w:sz="0" w:space="0" w:color="auto"/>
              </w:divBdr>
            </w:div>
          </w:divsChild>
        </w:div>
        <w:div w:id="703214071">
          <w:marLeft w:val="0"/>
          <w:marRight w:val="0"/>
          <w:marTop w:val="0"/>
          <w:marBottom w:val="0"/>
          <w:divBdr>
            <w:top w:val="none" w:sz="0" w:space="0" w:color="auto"/>
            <w:left w:val="none" w:sz="0" w:space="0" w:color="auto"/>
            <w:bottom w:val="none" w:sz="0" w:space="0" w:color="auto"/>
            <w:right w:val="none" w:sz="0" w:space="0" w:color="auto"/>
          </w:divBdr>
          <w:divsChild>
            <w:div w:id="415591289">
              <w:marLeft w:val="0"/>
              <w:marRight w:val="0"/>
              <w:marTop w:val="0"/>
              <w:marBottom w:val="0"/>
              <w:divBdr>
                <w:top w:val="none" w:sz="0" w:space="0" w:color="auto"/>
                <w:left w:val="none" w:sz="0" w:space="0" w:color="auto"/>
                <w:bottom w:val="none" w:sz="0" w:space="0" w:color="auto"/>
                <w:right w:val="none" w:sz="0" w:space="0" w:color="auto"/>
              </w:divBdr>
            </w:div>
          </w:divsChild>
        </w:div>
        <w:div w:id="736711890">
          <w:marLeft w:val="0"/>
          <w:marRight w:val="0"/>
          <w:marTop w:val="0"/>
          <w:marBottom w:val="0"/>
          <w:divBdr>
            <w:top w:val="none" w:sz="0" w:space="0" w:color="auto"/>
            <w:left w:val="none" w:sz="0" w:space="0" w:color="auto"/>
            <w:bottom w:val="none" w:sz="0" w:space="0" w:color="auto"/>
            <w:right w:val="none" w:sz="0" w:space="0" w:color="auto"/>
          </w:divBdr>
          <w:divsChild>
            <w:div w:id="445274943">
              <w:marLeft w:val="0"/>
              <w:marRight w:val="0"/>
              <w:marTop w:val="0"/>
              <w:marBottom w:val="0"/>
              <w:divBdr>
                <w:top w:val="none" w:sz="0" w:space="0" w:color="auto"/>
                <w:left w:val="none" w:sz="0" w:space="0" w:color="auto"/>
                <w:bottom w:val="none" w:sz="0" w:space="0" w:color="auto"/>
                <w:right w:val="none" w:sz="0" w:space="0" w:color="auto"/>
              </w:divBdr>
            </w:div>
          </w:divsChild>
        </w:div>
        <w:div w:id="753281238">
          <w:marLeft w:val="0"/>
          <w:marRight w:val="0"/>
          <w:marTop w:val="0"/>
          <w:marBottom w:val="0"/>
          <w:divBdr>
            <w:top w:val="none" w:sz="0" w:space="0" w:color="auto"/>
            <w:left w:val="none" w:sz="0" w:space="0" w:color="auto"/>
            <w:bottom w:val="none" w:sz="0" w:space="0" w:color="auto"/>
            <w:right w:val="none" w:sz="0" w:space="0" w:color="auto"/>
          </w:divBdr>
          <w:divsChild>
            <w:div w:id="1025906204">
              <w:marLeft w:val="0"/>
              <w:marRight w:val="0"/>
              <w:marTop w:val="0"/>
              <w:marBottom w:val="0"/>
              <w:divBdr>
                <w:top w:val="none" w:sz="0" w:space="0" w:color="auto"/>
                <w:left w:val="none" w:sz="0" w:space="0" w:color="auto"/>
                <w:bottom w:val="none" w:sz="0" w:space="0" w:color="auto"/>
                <w:right w:val="none" w:sz="0" w:space="0" w:color="auto"/>
              </w:divBdr>
            </w:div>
          </w:divsChild>
        </w:div>
        <w:div w:id="782263689">
          <w:marLeft w:val="0"/>
          <w:marRight w:val="0"/>
          <w:marTop w:val="0"/>
          <w:marBottom w:val="0"/>
          <w:divBdr>
            <w:top w:val="none" w:sz="0" w:space="0" w:color="auto"/>
            <w:left w:val="none" w:sz="0" w:space="0" w:color="auto"/>
            <w:bottom w:val="none" w:sz="0" w:space="0" w:color="auto"/>
            <w:right w:val="none" w:sz="0" w:space="0" w:color="auto"/>
          </w:divBdr>
          <w:divsChild>
            <w:div w:id="838420970">
              <w:marLeft w:val="0"/>
              <w:marRight w:val="0"/>
              <w:marTop w:val="0"/>
              <w:marBottom w:val="0"/>
              <w:divBdr>
                <w:top w:val="none" w:sz="0" w:space="0" w:color="auto"/>
                <w:left w:val="none" w:sz="0" w:space="0" w:color="auto"/>
                <w:bottom w:val="none" w:sz="0" w:space="0" w:color="auto"/>
                <w:right w:val="none" w:sz="0" w:space="0" w:color="auto"/>
              </w:divBdr>
            </w:div>
          </w:divsChild>
        </w:div>
        <w:div w:id="807698202">
          <w:marLeft w:val="0"/>
          <w:marRight w:val="0"/>
          <w:marTop w:val="0"/>
          <w:marBottom w:val="0"/>
          <w:divBdr>
            <w:top w:val="none" w:sz="0" w:space="0" w:color="auto"/>
            <w:left w:val="none" w:sz="0" w:space="0" w:color="auto"/>
            <w:bottom w:val="none" w:sz="0" w:space="0" w:color="auto"/>
            <w:right w:val="none" w:sz="0" w:space="0" w:color="auto"/>
          </w:divBdr>
          <w:divsChild>
            <w:div w:id="1418096706">
              <w:marLeft w:val="0"/>
              <w:marRight w:val="0"/>
              <w:marTop w:val="0"/>
              <w:marBottom w:val="0"/>
              <w:divBdr>
                <w:top w:val="none" w:sz="0" w:space="0" w:color="auto"/>
                <w:left w:val="none" w:sz="0" w:space="0" w:color="auto"/>
                <w:bottom w:val="none" w:sz="0" w:space="0" w:color="auto"/>
                <w:right w:val="none" w:sz="0" w:space="0" w:color="auto"/>
              </w:divBdr>
            </w:div>
          </w:divsChild>
        </w:div>
        <w:div w:id="823199094">
          <w:marLeft w:val="0"/>
          <w:marRight w:val="0"/>
          <w:marTop w:val="0"/>
          <w:marBottom w:val="0"/>
          <w:divBdr>
            <w:top w:val="none" w:sz="0" w:space="0" w:color="auto"/>
            <w:left w:val="none" w:sz="0" w:space="0" w:color="auto"/>
            <w:bottom w:val="none" w:sz="0" w:space="0" w:color="auto"/>
            <w:right w:val="none" w:sz="0" w:space="0" w:color="auto"/>
          </w:divBdr>
          <w:divsChild>
            <w:div w:id="895706390">
              <w:marLeft w:val="0"/>
              <w:marRight w:val="0"/>
              <w:marTop w:val="0"/>
              <w:marBottom w:val="0"/>
              <w:divBdr>
                <w:top w:val="none" w:sz="0" w:space="0" w:color="auto"/>
                <w:left w:val="none" w:sz="0" w:space="0" w:color="auto"/>
                <w:bottom w:val="none" w:sz="0" w:space="0" w:color="auto"/>
                <w:right w:val="none" w:sz="0" w:space="0" w:color="auto"/>
              </w:divBdr>
            </w:div>
          </w:divsChild>
        </w:div>
        <w:div w:id="848789454">
          <w:marLeft w:val="0"/>
          <w:marRight w:val="0"/>
          <w:marTop w:val="0"/>
          <w:marBottom w:val="0"/>
          <w:divBdr>
            <w:top w:val="none" w:sz="0" w:space="0" w:color="auto"/>
            <w:left w:val="none" w:sz="0" w:space="0" w:color="auto"/>
            <w:bottom w:val="none" w:sz="0" w:space="0" w:color="auto"/>
            <w:right w:val="none" w:sz="0" w:space="0" w:color="auto"/>
          </w:divBdr>
          <w:divsChild>
            <w:div w:id="1251547963">
              <w:marLeft w:val="0"/>
              <w:marRight w:val="0"/>
              <w:marTop w:val="0"/>
              <w:marBottom w:val="0"/>
              <w:divBdr>
                <w:top w:val="none" w:sz="0" w:space="0" w:color="auto"/>
                <w:left w:val="none" w:sz="0" w:space="0" w:color="auto"/>
                <w:bottom w:val="none" w:sz="0" w:space="0" w:color="auto"/>
                <w:right w:val="none" w:sz="0" w:space="0" w:color="auto"/>
              </w:divBdr>
            </w:div>
          </w:divsChild>
        </w:div>
        <w:div w:id="858665536">
          <w:marLeft w:val="0"/>
          <w:marRight w:val="0"/>
          <w:marTop w:val="0"/>
          <w:marBottom w:val="0"/>
          <w:divBdr>
            <w:top w:val="none" w:sz="0" w:space="0" w:color="auto"/>
            <w:left w:val="none" w:sz="0" w:space="0" w:color="auto"/>
            <w:bottom w:val="none" w:sz="0" w:space="0" w:color="auto"/>
            <w:right w:val="none" w:sz="0" w:space="0" w:color="auto"/>
          </w:divBdr>
          <w:divsChild>
            <w:div w:id="787891713">
              <w:marLeft w:val="0"/>
              <w:marRight w:val="0"/>
              <w:marTop w:val="0"/>
              <w:marBottom w:val="0"/>
              <w:divBdr>
                <w:top w:val="none" w:sz="0" w:space="0" w:color="auto"/>
                <w:left w:val="none" w:sz="0" w:space="0" w:color="auto"/>
                <w:bottom w:val="none" w:sz="0" w:space="0" w:color="auto"/>
                <w:right w:val="none" w:sz="0" w:space="0" w:color="auto"/>
              </w:divBdr>
            </w:div>
          </w:divsChild>
        </w:div>
        <w:div w:id="897981183">
          <w:marLeft w:val="0"/>
          <w:marRight w:val="0"/>
          <w:marTop w:val="0"/>
          <w:marBottom w:val="0"/>
          <w:divBdr>
            <w:top w:val="none" w:sz="0" w:space="0" w:color="auto"/>
            <w:left w:val="none" w:sz="0" w:space="0" w:color="auto"/>
            <w:bottom w:val="none" w:sz="0" w:space="0" w:color="auto"/>
            <w:right w:val="none" w:sz="0" w:space="0" w:color="auto"/>
          </w:divBdr>
          <w:divsChild>
            <w:div w:id="333340053">
              <w:marLeft w:val="0"/>
              <w:marRight w:val="0"/>
              <w:marTop w:val="0"/>
              <w:marBottom w:val="0"/>
              <w:divBdr>
                <w:top w:val="none" w:sz="0" w:space="0" w:color="auto"/>
                <w:left w:val="none" w:sz="0" w:space="0" w:color="auto"/>
                <w:bottom w:val="none" w:sz="0" w:space="0" w:color="auto"/>
                <w:right w:val="none" w:sz="0" w:space="0" w:color="auto"/>
              </w:divBdr>
            </w:div>
          </w:divsChild>
        </w:div>
        <w:div w:id="999313706">
          <w:marLeft w:val="0"/>
          <w:marRight w:val="0"/>
          <w:marTop w:val="0"/>
          <w:marBottom w:val="0"/>
          <w:divBdr>
            <w:top w:val="none" w:sz="0" w:space="0" w:color="auto"/>
            <w:left w:val="none" w:sz="0" w:space="0" w:color="auto"/>
            <w:bottom w:val="none" w:sz="0" w:space="0" w:color="auto"/>
            <w:right w:val="none" w:sz="0" w:space="0" w:color="auto"/>
          </w:divBdr>
          <w:divsChild>
            <w:div w:id="2138251535">
              <w:marLeft w:val="0"/>
              <w:marRight w:val="0"/>
              <w:marTop w:val="0"/>
              <w:marBottom w:val="0"/>
              <w:divBdr>
                <w:top w:val="none" w:sz="0" w:space="0" w:color="auto"/>
                <w:left w:val="none" w:sz="0" w:space="0" w:color="auto"/>
                <w:bottom w:val="none" w:sz="0" w:space="0" w:color="auto"/>
                <w:right w:val="none" w:sz="0" w:space="0" w:color="auto"/>
              </w:divBdr>
            </w:div>
          </w:divsChild>
        </w:div>
        <w:div w:id="1026490739">
          <w:marLeft w:val="0"/>
          <w:marRight w:val="0"/>
          <w:marTop w:val="0"/>
          <w:marBottom w:val="0"/>
          <w:divBdr>
            <w:top w:val="none" w:sz="0" w:space="0" w:color="auto"/>
            <w:left w:val="none" w:sz="0" w:space="0" w:color="auto"/>
            <w:bottom w:val="none" w:sz="0" w:space="0" w:color="auto"/>
            <w:right w:val="none" w:sz="0" w:space="0" w:color="auto"/>
          </w:divBdr>
          <w:divsChild>
            <w:div w:id="98765322">
              <w:marLeft w:val="0"/>
              <w:marRight w:val="0"/>
              <w:marTop w:val="0"/>
              <w:marBottom w:val="0"/>
              <w:divBdr>
                <w:top w:val="none" w:sz="0" w:space="0" w:color="auto"/>
                <w:left w:val="none" w:sz="0" w:space="0" w:color="auto"/>
                <w:bottom w:val="none" w:sz="0" w:space="0" w:color="auto"/>
                <w:right w:val="none" w:sz="0" w:space="0" w:color="auto"/>
              </w:divBdr>
            </w:div>
          </w:divsChild>
        </w:div>
        <w:div w:id="1032730501">
          <w:marLeft w:val="0"/>
          <w:marRight w:val="0"/>
          <w:marTop w:val="0"/>
          <w:marBottom w:val="0"/>
          <w:divBdr>
            <w:top w:val="none" w:sz="0" w:space="0" w:color="auto"/>
            <w:left w:val="none" w:sz="0" w:space="0" w:color="auto"/>
            <w:bottom w:val="none" w:sz="0" w:space="0" w:color="auto"/>
            <w:right w:val="none" w:sz="0" w:space="0" w:color="auto"/>
          </w:divBdr>
          <w:divsChild>
            <w:div w:id="1263687337">
              <w:marLeft w:val="0"/>
              <w:marRight w:val="0"/>
              <w:marTop w:val="0"/>
              <w:marBottom w:val="0"/>
              <w:divBdr>
                <w:top w:val="none" w:sz="0" w:space="0" w:color="auto"/>
                <w:left w:val="none" w:sz="0" w:space="0" w:color="auto"/>
                <w:bottom w:val="none" w:sz="0" w:space="0" w:color="auto"/>
                <w:right w:val="none" w:sz="0" w:space="0" w:color="auto"/>
              </w:divBdr>
            </w:div>
          </w:divsChild>
        </w:div>
        <w:div w:id="1076978521">
          <w:marLeft w:val="0"/>
          <w:marRight w:val="0"/>
          <w:marTop w:val="0"/>
          <w:marBottom w:val="0"/>
          <w:divBdr>
            <w:top w:val="none" w:sz="0" w:space="0" w:color="auto"/>
            <w:left w:val="none" w:sz="0" w:space="0" w:color="auto"/>
            <w:bottom w:val="none" w:sz="0" w:space="0" w:color="auto"/>
            <w:right w:val="none" w:sz="0" w:space="0" w:color="auto"/>
          </w:divBdr>
          <w:divsChild>
            <w:div w:id="149488388">
              <w:marLeft w:val="0"/>
              <w:marRight w:val="0"/>
              <w:marTop w:val="0"/>
              <w:marBottom w:val="0"/>
              <w:divBdr>
                <w:top w:val="none" w:sz="0" w:space="0" w:color="auto"/>
                <w:left w:val="none" w:sz="0" w:space="0" w:color="auto"/>
                <w:bottom w:val="none" w:sz="0" w:space="0" w:color="auto"/>
                <w:right w:val="none" w:sz="0" w:space="0" w:color="auto"/>
              </w:divBdr>
            </w:div>
          </w:divsChild>
        </w:div>
        <w:div w:id="1089157682">
          <w:marLeft w:val="0"/>
          <w:marRight w:val="0"/>
          <w:marTop w:val="0"/>
          <w:marBottom w:val="0"/>
          <w:divBdr>
            <w:top w:val="none" w:sz="0" w:space="0" w:color="auto"/>
            <w:left w:val="none" w:sz="0" w:space="0" w:color="auto"/>
            <w:bottom w:val="none" w:sz="0" w:space="0" w:color="auto"/>
            <w:right w:val="none" w:sz="0" w:space="0" w:color="auto"/>
          </w:divBdr>
          <w:divsChild>
            <w:div w:id="362445711">
              <w:marLeft w:val="0"/>
              <w:marRight w:val="0"/>
              <w:marTop w:val="0"/>
              <w:marBottom w:val="0"/>
              <w:divBdr>
                <w:top w:val="none" w:sz="0" w:space="0" w:color="auto"/>
                <w:left w:val="none" w:sz="0" w:space="0" w:color="auto"/>
                <w:bottom w:val="none" w:sz="0" w:space="0" w:color="auto"/>
                <w:right w:val="none" w:sz="0" w:space="0" w:color="auto"/>
              </w:divBdr>
            </w:div>
          </w:divsChild>
        </w:div>
        <w:div w:id="1114983018">
          <w:marLeft w:val="0"/>
          <w:marRight w:val="0"/>
          <w:marTop w:val="0"/>
          <w:marBottom w:val="0"/>
          <w:divBdr>
            <w:top w:val="none" w:sz="0" w:space="0" w:color="auto"/>
            <w:left w:val="none" w:sz="0" w:space="0" w:color="auto"/>
            <w:bottom w:val="none" w:sz="0" w:space="0" w:color="auto"/>
            <w:right w:val="none" w:sz="0" w:space="0" w:color="auto"/>
          </w:divBdr>
          <w:divsChild>
            <w:div w:id="2034262645">
              <w:marLeft w:val="0"/>
              <w:marRight w:val="0"/>
              <w:marTop w:val="0"/>
              <w:marBottom w:val="0"/>
              <w:divBdr>
                <w:top w:val="none" w:sz="0" w:space="0" w:color="auto"/>
                <w:left w:val="none" w:sz="0" w:space="0" w:color="auto"/>
                <w:bottom w:val="none" w:sz="0" w:space="0" w:color="auto"/>
                <w:right w:val="none" w:sz="0" w:space="0" w:color="auto"/>
              </w:divBdr>
            </w:div>
          </w:divsChild>
        </w:div>
        <w:div w:id="1129321745">
          <w:marLeft w:val="0"/>
          <w:marRight w:val="0"/>
          <w:marTop w:val="0"/>
          <w:marBottom w:val="0"/>
          <w:divBdr>
            <w:top w:val="none" w:sz="0" w:space="0" w:color="auto"/>
            <w:left w:val="none" w:sz="0" w:space="0" w:color="auto"/>
            <w:bottom w:val="none" w:sz="0" w:space="0" w:color="auto"/>
            <w:right w:val="none" w:sz="0" w:space="0" w:color="auto"/>
          </w:divBdr>
          <w:divsChild>
            <w:div w:id="1123691548">
              <w:marLeft w:val="0"/>
              <w:marRight w:val="0"/>
              <w:marTop w:val="0"/>
              <w:marBottom w:val="0"/>
              <w:divBdr>
                <w:top w:val="none" w:sz="0" w:space="0" w:color="auto"/>
                <w:left w:val="none" w:sz="0" w:space="0" w:color="auto"/>
                <w:bottom w:val="none" w:sz="0" w:space="0" w:color="auto"/>
                <w:right w:val="none" w:sz="0" w:space="0" w:color="auto"/>
              </w:divBdr>
            </w:div>
          </w:divsChild>
        </w:div>
        <w:div w:id="1134368316">
          <w:marLeft w:val="0"/>
          <w:marRight w:val="0"/>
          <w:marTop w:val="0"/>
          <w:marBottom w:val="0"/>
          <w:divBdr>
            <w:top w:val="none" w:sz="0" w:space="0" w:color="auto"/>
            <w:left w:val="none" w:sz="0" w:space="0" w:color="auto"/>
            <w:bottom w:val="none" w:sz="0" w:space="0" w:color="auto"/>
            <w:right w:val="none" w:sz="0" w:space="0" w:color="auto"/>
          </w:divBdr>
          <w:divsChild>
            <w:div w:id="791285502">
              <w:marLeft w:val="0"/>
              <w:marRight w:val="0"/>
              <w:marTop w:val="0"/>
              <w:marBottom w:val="0"/>
              <w:divBdr>
                <w:top w:val="none" w:sz="0" w:space="0" w:color="auto"/>
                <w:left w:val="none" w:sz="0" w:space="0" w:color="auto"/>
                <w:bottom w:val="none" w:sz="0" w:space="0" w:color="auto"/>
                <w:right w:val="none" w:sz="0" w:space="0" w:color="auto"/>
              </w:divBdr>
            </w:div>
          </w:divsChild>
        </w:div>
        <w:div w:id="1153764471">
          <w:marLeft w:val="0"/>
          <w:marRight w:val="0"/>
          <w:marTop w:val="0"/>
          <w:marBottom w:val="0"/>
          <w:divBdr>
            <w:top w:val="none" w:sz="0" w:space="0" w:color="auto"/>
            <w:left w:val="none" w:sz="0" w:space="0" w:color="auto"/>
            <w:bottom w:val="none" w:sz="0" w:space="0" w:color="auto"/>
            <w:right w:val="none" w:sz="0" w:space="0" w:color="auto"/>
          </w:divBdr>
          <w:divsChild>
            <w:div w:id="1629513400">
              <w:marLeft w:val="0"/>
              <w:marRight w:val="0"/>
              <w:marTop w:val="0"/>
              <w:marBottom w:val="0"/>
              <w:divBdr>
                <w:top w:val="none" w:sz="0" w:space="0" w:color="auto"/>
                <w:left w:val="none" w:sz="0" w:space="0" w:color="auto"/>
                <w:bottom w:val="none" w:sz="0" w:space="0" w:color="auto"/>
                <w:right w:val="none" w:sz="0" w:space="0" w:color="auto"/>
              </w:divBdr>
            </w:div>
          </w:divsChild>
        </w:div>
        <w:div w:id="1185898120">
          <w:marLeft w:val="0"/>
          <w:marRight w:val="0"/>
          <w:marTop w:val="0"/>
          <w:marBottom w:val="0"/>
          <w:divBdr>
            <w:top w:val="none" w:sz="0" w:space="0" w:color="auto"/>
            <w:left w:val="none" w:sz="0" w:space="0" w:color="auto"/>
            <w:bottom w:val="none" w:sz="0" w:space="0" w:color="auto"/>
            <w:right w:val="none" w:sz="0" w:space="0" w:color="auto"/>
          </w:divBdr>
          <w:divsChild>
            <w:div w:id="147863481">
              <w:marLeft w:val="0"/>
              <w:marRight w:val="0"/>
              <w:marTop w:val="0"/>
              <w:marBottom w:val="0"/>
              <w:divBdr>
                <w:top w:val="none" w:sz="0" w:space="0" w:color="auto"/>
                <w:left w:val="none" w:sz="0" w:space="0" w:color="auto"/>
                <w:bottom w:val="none" w:sz="0" w:space="0" w:color="auto"/>
                <w:right w:val="none" w:sz="0" w:space="0" w:color="auto"/>
              </w:divBdr>
            </w:div>
          </w:divsChild>
        </w:div>
        <w:div w:id="1208489040">
          <w:marLeft w:val="0"/>
          <w:marRight w:val="0"/>
          <w:marTop w:val="0"/>
          <w:marBottom w:val="0"/>
          <w:divBdr>
            <w:top w:val="none" w:sz="0" w:space="0" w:color="auto"/>
            <w:left w:val="none" w:sz="0" w:space="0" w:color="auto"/>
            <w:bottom w:val="none" w:sz="0" w:space="0" w:color="auto"/>
            <w:right w:val="none" w:sz="0" w:space="0" w:color="auto"/>
          </w:divBdr>
          <w:divsChild>
            <w:div w:id="1491480011">
              <w:marLeft w:val="0"/>
              <w:marRight w:val="0"/>
              <w:marTop w:val="0"/>
              <w:marBottom w:val="0"/>
              <w:divBdr>
                <w:top w:val="none" w:sz="0" w:space="0" w:color="auto"/>
                <w:left w:val="none" w:sz="0" w:space="0" w:color="auto"/>
                <w:bottom w:val="none" w:sz="0" w:space="0" w:color="auto"/>
                <w:right w:val="none" w:sz="0" w:space="0" w:color="auto"/>
              </w:divBdr>
            </w:div>
          </w:divsChild>
        </w:div>
        <w:div w:id="1225412631">
          <w:marLeft w:val="0"/>
          <w:marRight w:val="0"/>
          <w:marTop w:val="0"/>
          <w:marBottom w:val="0"/>
          <w:divBdr>
            <w:top w:val="none" w:sz="0" w:space="0" w:color="auto"/>
            <w:left w:val="none" w:sz="0" w:space="0" w:color="auto"/>
            <w:bottom w:val="none" w:sz="0" w:space="0" w:color="auto"/>
            <w:right w:val="none" w:sz="0" w:space="0" w:color="auto"/>
          </w:divBdr>
          <w:divsChild>
            <w:div w:id="1871841633">
              <w:marLeft w:val="0"/>
              <w:marRight w:val="0"/>
              <w:marTop w:val="0"/>
              <w:marBottom w:val="0"/>
              <w:divBdr>
                <w:top w:val="none" w:sz="0" w:space="0" w:color="auto"/>
                <w:left w:val="none" w:sz="0" w:space="0" w:color="auto"/>
                <w:bottom w:val="none" w:sz="0" w:space="0" w:color="auto"/>
                <w:right w:val="none" w:sz="0" w:space="0" w:color="auto"/>
              </w:divBdr>
            </w:div>
          </w:divsChild>
        </w:div>
        <w:div w:id="1252466065">
          <w:marLeft w:val="0"/>
          <w:marRight w:val="0"/>
          <w:marTop w:val="0"/>
          <w:marBottom w:val="0"/>
          <w:divBdr>
            <w:top w:val="none" w:sz="0" w:space="0" w:color="auto"/>
            <w:left w:val="none" w:sz="0" w:space="0" w:color="auto"/>
            <w:bottom w:val="none" w:sz="0" w:space="0" w:color="auto"/>
            <w:right w:val="none" w:sz="0" w:space="0" w:color="auto"/>
          </w:divBdr>
          <w:divsChild>
            <w:div w:id="1421488894">
              <w:marLeft w:val="0"/>
              <w:marRight w:val="0"/>
              <w:marTop w:val="0"/>
              <w:marBottom w:val="0"/>
              <w:divBdr>
                <w:top w:val="none" w:sz="0" w:space="0" w:color="auto"/>
                <w:left w:val="none" w:sz="0" w:space="0" w:color="auto"/>
                <w:bottom w:val="none" w:sz="0" w:space="0" w:color="auto"/>
                <w:right w:val="none" w:sz="0" w:space="0" w:color="auto"/>
              </w:divBdr>
            </w:div>
          </w:divsChild>
        </w:div>
        <w:div w:id="1277953860">
          <w:marLeft w:val="0"/>
          <w:marRight w:val="0"/>
          <w:marTop w:val="0"/>
          <w:marBottom w:val="0"/>
          <w:divBdr>
            <w:top w:val="none" w:sz="0" w:space="0" w:color="auto"/>
            <w:left w:val="none" w:sz="0" w:space="0" w:color="auto"/>
            <w:bottom w:val="none" w:sz="0" w:space="0" w:color="auto"/>
            <w:right w:val="none" w:sz="0" w:space="0" w:color="auto"/>
          </w:divBdr>
          <w:divsChild>
            <w:div w:id="655694935">
              <w:marLeft w:val="0"/>
              <w:marRight w:val="0"/>
              <w:marTop w:val="0"/>
              <w:marBottom w:val="0"/>
              <w:divBdr>
                <w:top w:val="none" w:sz="0" w:space="0" w:color="auto"/>
                <w:left w:val="none" w:sz="0" w:space="0" w:color="auto"/>
                <w:bottom w:val="none" w:sz="0" w:space="0" w:color="auto"/>
                <w:right w:val="none" w:sz="0" w:space="0" w:color="auto"/>
              </w:divBdr>
            </w:div>
          </w:divsChild>
        </w:div>
        <w:div w:id="1293903465">
          <w:marLeft w:val="0"/>
          <w:marRight w:val="0"/>
          <w:marTop w:val="0"/>
          <w:marBottom w:val="0"/>
          <w:divBdr>
            <w:top w:val="none" w:sz="0" w:space="0" w:color="auto"/>
            <w:left w:val="none" w:sz="0" w:space="0" w:color="auto"/>
            <w:bottom w:val="none" w:sz="0" w:space="0" w:color="auto"/>
            <w:right w:val="none" w:sz="0" w:space="0" w:color="auto"/>
          </w:divBdr>
          <w:divsChild>
            <w:div w:id="110056903">
              <w:marLeft w:val="0"/>
              <w:marRight w:val="0"/>
              <w:marTop w:val="0"/>
              <w:marBottom w:val="0"/>
              <w:divBdr>
                <w:top w:val="none" w:sz="0" w:space="0" w:color="auto"/>
                <w:left w:val="none" w:sz="0" w:space="0" w:color="auto"/>
                <w:bottom w:val="none" w:sz="0" w:space="0" w:color="auto"/>
                <w:right w:val="none" w:sz="0" w:space="0" w:color="auto"/>
              </w:divBdr>
            </w:div>
          </w:divsChild>
        </w:div>
        <w:div w:id="1311057308">
          <w:marLeft w:val="0"/>
          <w:marRight w:val="0"/>
          <w:marTop w:val="0"/>
          <w:marBottom w:val="0"/>
          <w:divBdr>
            <w:top w:val="none" w:sz="0" w:space="0" w:color="auto"/>
            <w:left w:val="none" w:sz="0" w:space="0" w:color="auto"/>
            <w:bottom w:val="none" w:sz="0" w:space="0" w:color="auto"/>
            <w:right w:val="none" w:sz="0" w:space="0" w:color="auto"/>
          </w:divBdr>
          <w:divsChild>
            <w:div w:id="996420279">
              <w:marLeft w:val="0"/>
              <w:marRight w:val="0"/>
              <w:marTop w:val="0"/>
              <w:marBottom w:val="0"/>
              <w:divBdr>
                <w:top w:val="none" w:sz="0" w:space="0" w:color="auto"/>
                <w:left w:val="none" w:sz="0" w:space="0" w:color="auto"/>
                <w:bottom w:val="none" w:sz="0" w:space="0" w:color="auto"/>
                <w:right w:val="none" w:sz="0" w:space="0" w:color="auto"/>
              </w:divBdr>
            </w:div>
          </w:divsChild>
        </w:div>
        <w:div w:id="1326981754">
          <w:marLeft w:val="0"/>
          <w:marRight w:val="0"/>
          <w:marTop w:val="0"/>
          <w:marBottom w:val="0"/>
          <w:divBdr>
            <w:top w:val="none" w:sz="0" w:space="0" w:color="auto"/>
            <w:left w:val="none" w:sz="0" w:space="0" w:color="auto"/>
            <w:bottom w:val="none" w:sz="0" w:space="0" w:color="auto"/>
            <w:right w:val="none" w:sz="0" w:space="0" w:color="auto"/>
          </w:divBdr>
          <w:divsChild>
            <w:div w:id="269944034">
              <w:marLeft w:val="0"/>
              <w:marRight w:val="0"/>
              <w:marTop w:val="0"/>
              <w:marBottom w:val="0"/>
              <w:divBdr>
                <w:top w:val="none" w:sz="0" w:space="0" w:color="auto"/>
                <w:left w:val="none" w:sz="0" w:space="0" w:color="auto"/>
                <w:bottom w:val="none" w:sz="0" w:space="0" w:color="auto"/>
                <w:right w:val="none" w:sz="0" w:space="0" w:color="auto"/>
              </w:divBdr>
            </w:div>
          </w:divsChild>
        </w:div>
        <w:div w:id="1333071184">
          <w:marLeft w:val="0"/>
          <w:marRight w:val="0"/>
          <w:marTop w:val="0"/>
          <w:marBottom w:val="0"/>
          <w:divBdr>
            <w:top w:val="none" w:sz="0" w:space="0" w:color="auto"/>
            <w:left w:val="none" w:sz="0" w:space="0" w:color="auto"/>
            <w:bottom w:val="none" w:sz="0" w:space="0" w:color="auto"/>
            <w:right w:val="none" w:sz="0" w:space="0" w:color="auto"/>
          </w:divBdr>
          <w:divsChild>
            <w:div w:id="1337339392">
              <w:marLeft w:val="0"/>
              <w:marRight w:val="0"/>
              <w:marTop w:val="0"/>
              <w:marBottom w:val="0"/>
              <w:divBdr>
                <w:top w:val="none" w:sz="0" w:space="0" w:color="auto"/>
                <w:left w:val="none" w:sz="0" w:space="0" w:color="auto"/>
                <w:bottom w:val="none" w:sz="0" w:space="0" w:color="auto"/>
                <w:right w:val="none" w:sz="0" w:space="0" w:color="auto"/>
              </w:divBdr>
            </w:div>
          </w:divsChild>
        </w:div>
        <w:div w:id="1363432847">
          <w:marLeft w:val="0"/>
          <w:marRight w:val="0"/>
          <w:marTop w:val="0"/>
          <w:marBottom w:val="0"/>
          <w:divBdr>
            <w:top w:val="none" w:sz="0" w:space="0" w:color="auto"/>
            <w:left w:val="none" w:sz="0" w:space="0" w:color="auto"/>
            <w:bottom w:val="none" w:sz="0" w:space="0" w:color="auto"/>
            <w:right w:val="none" w:sz="0" w:space="0" w:color="auto"/>
          </w:divBdr>
          <w:divsChild>
            <w:div w:id="11534989">
              <w:marLeft w:val="0"/>
              <w:marRight w:val="0"/>
              <w:marTop w:val="0"/>
              <w:marBottom w:val="0"/>
              <w:divBdr>
                <w:top w:val="none" w:sz="0" w:space="0" w:color="auto"/>
                <w:left w:val="none" w:sz="0" w:space="0" w:color="auto"/>
                <w:bottom w:val="none" w:sz="0" w:space="0" w:color="auto"/>
                <w:right w:val="none" w:sz="0" w:space="0" w:color="auto"/>
              </w:divBdr>
            </w:div>
          </w:divsChild>
        </w:div>
        <w:div w:id="1392458784">
          <w:marLeft w:val="0"/>
          <w:marRight w:val="0"/>
          <w:marTop w:val="0"/>
          <w:marBottom w:val="0"/>
          <w:divBdr>
            <w:top w:val="none" w:sz="0" w:space="0" w:color="auto"/>
            <w:left w:val="none" w:sz="0" w:space="0" w:color="auto"/>
            <w:bottom w:val="none" w:sz="0" w:space="0" w:color="auto"/>
            <w:right w:val="none" w:sz="0" w:space="0" w:color="auto"/>
          </w:divBdr>
          <w:divsChild>
            <w:div w:id="980380995">
              <w:marLeft w:val="0"/>
              <w:marRight w:val="0"/>
              <w:marTop w:val="0"/>
              <w:marBottom w:val="0"/>
              <w:divBdr>
                <w:top w:val="none" w:sz="0" w:space="0" w:color="auto"/>
                <w:left w:val="none" w:sz="0" w:space="0" w:color="auto"/>
                <w:bottom w:val="none" w:sz="0" w:space="0" w:color="auto"/>
                <w:right w:val="none" w:sz="0" w:space="0" w:color="auto"/>
              </w:divBdr>
            </w:div>
          </w:divsChild>
        </w:div>
        <w:div w:id="1437674140">
          <w:marLeft w:val="0"/>
          <w:marRight w:val="0"/>
          <w:marTop w:val="0"/>
          <w:marBottom w:val="0"/>
          <w:divBdr>
            <w:top w:val="none" w:sz="0" w:space="0" w:color="auto"/>
            <w:left w:val="none" w:sz="0" w:space="0" w:color="auto"/>
            <w:bottom w:val="none" w:sz="0" w:space="0" w:color="auto"/>
            <w:right w:val="none" w:sz="0" w:space="0" w:color="auto"/>
          </w:divBdr>
          <w:divsChild>
            <w:div w:id="1187325109">
              <w:marLeft w:val="0"/>
              <w:marRight w:val="0"/>
              <w:marTop w:val="0"/>
              <w:marBottom w:val="0"/>
              <w:divBdr>
                <w:top w:val="none" w:sz="0" w:space="0" w:color="auto"/>
                <w:left w:val="none" w:sz="0" w:space="0" w:color="auto"/>
                <w:bottom w:val="none" w:sz="0" w:space="0" w:color="auto"/>
                <w:right w:val="none" w:sz="0" w:space="0" w:color="auto"/>
              </w:divBdr>
            </w:div>
          </w:divsChild>
        </w:div>
        <w:div w:id="1475179785">
          <w:marLeft w:val="0"/>
          <w:marRight w:val="0"/>
          <w:marTop w:val="0"/>
          <w:marBottom w:val="0"/>
          <w:divBdr>
            <w:top w:val="none" w:sz="0" w:space="0" w:color="auto"/>
            <w:left w:val="none" w:sz="0" w:space="0" w:color="auto"/>
            <w:bottom w:val="none" w:sz="0" w:space="0" w:color="auto"/>
            <w:right w:val="none" w:sz="0" w:space="0" w:color="auto"/>
          </w:divBdr>
          <w:divsChild>
            <w:div w:id="1753045681">
              <w:marLeft w:val="0"/>
              <w:marRight w:val="0"/>
              <w:marTop w:val="0"/>
              <w:marBottom w:val="0"/>
              <w:divBdr>
                <w:top w:val="none" w:sz="0" w:space="0" w:color="auto"/>
                <w:left w:val="none" w:sz="0" w:space="0" w:color="auto"/>
                <w:bottom w:val="none" w:sz="0" w:space="0" w:color="auto"/>
                <w:right w:val="none" w:sz="0" w:space="0" w:color="auto"/>
              </w:divBdr>
            </w:div>
          </w:divsChild>
        </w:div>
        <w:div w:id="1485197201">
          <w:marLeft w:val="0"/>
          <w:marRight w:val="0"/>
          <w:marTop w:val="0"/>
          <w:marBottom w:val="0"/>
          <w:divBdr>
            <w:top w:val="none" w:sz="0" w:space="0" w:color="auto"/>
            <w:left w:val="none" w:sz="0" w:space="0" w:color="auto"/>
            <w:bottom w:val="none" w:sz="0" w:space="0" w:color="auto"/>
            <w:right w:val="none" w:sz="0" w:space="0" w:color="auto"/>
          </w:divBdr>
          <w:divsChild>
            <w:div w:id="712074172">
              <w:marLeft w:val="0"/>
              <w:marRight w:val="0"/>
              <w:marTop w:val="0"/>
              <w:marBottom w:val="0"/>
              <w:divBdr>
                <w:top w:val="none" w:sz="0" w:space="0" w:color="auto"/>
                <w:left w:val="none" w:sz="0" w:space="0" w:color="auto"/>
                <w:bottom w:val="none" w:sz="0" w:space="0" w:color="auto"/>
                <w:right w:val="none" w:sz="0" w:space="0" w:color="auto"/>
              </w:divBdr>
            </w:div>
          </w:divsChild>
        </w:div>
        <w:div w:id="1512910905">
          <w:marLeft w:val="0"/>
          <w:marRight w:val="0"/>
          <w:marTop w:val="0"/>
          <w:marBottom w:val="0"/>
          <w:divBdr>
            <w:top w:val="none" w:sz="0" w:space="0" w:color="auto"/>
            <w:left w:val="none" w:sz="0" w:space="0" w:color="auto"/>
            <w:bottom w:val="none" w:sz="0" w:space="0" w:color="auto"/>
            <w:right w:val="none" w:sz="0" w:space="0" w:color="auto"/>
          </w:divBdr>
          <w:divsChild>
            <w:div w:id="70930286">
              <w:marLeft w:val="0"/>
              <w:marRight w:val="0"/>
              <w:marTop w:val="0"/>
              <w:marBottom w:val="0"/>
              <w:divBdr>
                <w:top w:val="none" w:sz="0" w:space="0" w:color="auto"/>
                <w:left w:val="none" w:sz="0" w:space="0" w:color="auto"/>
                <w:bottom w:val="none" w:sz="0" w:space="0" w:color="auto"/>
                <w:right w:val="none" w:sz="0" w:space="0" w:color="auto"/>
              </w:divBdr>
            </w:div>
          </w:divsChild>
        </w:div>
        <w:div w:id="1530488706">
          <w:marLeft w:val="0"/>
          <w:marRight w:val="0"/>
          <w:marTop w:val="0"/>
          <w:marBottom w:val="0"/>
          <w:divBdr>
            <w:top w:val="none" w:sz="0" w:space="0" w:color="auto"/>
            <w:left w:val="none" w:sz="0" w:space="0" w:color="auto"/>
            <w:bottom w:val="none" w:sz="0" w:space="0" w:color="auto"/>
            <w:right w:val="none" w:sz="0" w:space="0" w:color="auto"/>
          </w:divBdr>
          <w:divsChild>
            <w:div w:id="1116676684">
              <w:marLeft w:val="0"/>
              <w:marRight w:val="0"/>
              <w:marTop w:val="0"/>
              <w:marBottom w:val="0"/>
              <w:divBdr>
                <w:top w:val="none" w:sz="0" w:space="0" w:color="auto"/>
                <w:left w:val="none" w:sz="0" w:space="0" w:color="auto"/>
                <w:bottom w:val="none" w:sz="0" w:space="0" w:color="auto"/>
                <w:right w:val="none" w:sz="0" w:space="0" w:color="auto"/>
              </w:divBdr>
            </w:div>
          </w:divsChild>
        </w:div>
        <w:div w:id="1570074574">
          <w:marLeft w:val="0"/>
          <w:marRight w:val="0"/>
          <w:marTop w:val="0"/>
          <w:marBottom w:val="0"/>
          <w:divBdr>
            <w:top w:val="none" w:sz="0" w:space="0" w:color="auto"/>
            <w:left w:val="none" w:sz="0" w:space="0" w:color="auto"/>
            <w:bottom w:val="none" w:sz="0" w:space="0" w:color="auto"/>
            <w:right w:val="none" w:sz="0" w:space="0" w:color="auto"/>
          </w:divBdr>
          <w:divsChild>
            <w:div w:id="151216604">
              <w:marLeft w:val="0"/>
              <w:marRight w:val="0"/>
              <w:marTop w:val="0"/>
              <w:marBottom w:val="0"/>
              <w:divBdr>
                <w:top w:val="none" w:sz="0" w:space="0" w:color="auto"/>
                <w:left w:val="none" w:sz="0" w:space="0" w:color="auto"/>
                <w:bottom w:val="none" w:sz="0" w:space="0" w:color="auto"/>
                <w:right w:val="none" w:sz="0" w:space="0" w:color="auto"/>
              </w:divBdr>
            </w:div>
          </w:divsChild>
        </w:div>
        <w:div w:id="1597009743">
          <w:marLeft w:val="0"/>
          <w:marRight w:val="0"/>
          <w:marTop w:val="0"/>
          <w:marBottom w:val="0"/>
          <w:divBdr>
            <w:top w:val="none" w:sz="0" w:space="0" w:color="auto"/>
            <w:left w:val="none" w:sz="0" w:space="0" w:color="auto"/>
            <w:bottom w:val="none" w:sz="0" w:space="0" w:color="auto"/>
            <w:right w:val="none" w:sz="0" w:space="0" w:color="auto"/>
          </w:divBdr>
          <w:divsChild>
            <w:div w:id="1745028899">
              <w:marLeft w:val="0"/>
              <w:marRight w:val="0"/>
              <w:marTop w:val="0"/>
              <w:marBottom w:val="0"/>
              <w:divBdr>
                <w:top w:val="none" w:sz="0" w:space="0" w:color="auto"/>
                <w:left w:val="none" w:sz="0" w:space="0" w:color="auto"/>
                <w:bottom w:val="none" w:sz="0" w:space="0" w:color="auto"/>
                <w:right w:val="none" w:sz="0" w:space="0" w:color="auto"/>
              </w:divBdr>
            </w:div>
          </w:divsChild>
        </w:div>
        <w:div w:id="1668552669">
          <w:marLeft w:val="0"/>
          <w:marRight w:val="0"/>
          <w:marTop w:val="0"/>
          <w:marBottom w:val="0"/>
          <w:divBdr>
            <w:top w:val="none" w:sz="0" w:space="0" w:color="auto"/>
            <w:left w:val="none" w:sz="0" w:space="0" w:color="auto"/>
            <w:bottom w:val="none" w:sz="0" w:space="0" w:color="auto"/>
            <w:right w:val="none" w:sz="0" w:space="0" w:color="auto"/>
          </w:divBdr>
          <w:divsChild>
            <w:div w:id="1821144975">
              <w:marLeft w:val="0"/>
              <w:marRight w:val="0"/>
              <w:marTop w:val="0"/>
              <w:marBottom w:val="0"/>
              <w:divBdr>
                <w:top w:val="none" w:sz="0" w:space="0" w:color="auto"/>
                <w:left w:val="none" w:sz="0" w:space="0" w:color="auto"/>
                <w:bottom w:val="none" w:sz="0" w:space="0" w:color="auto"/>
                <w:right w:val="none" w:sz="0" w:space="0" w:color="auto"/>
              </w:divBdr>
            </w:div>
          </w:divsChild>
        </w:div>
        <w:div w:id="1678774877">
          <w:marLeft w:val="0"/>
          <w:marRight w:val="0"/>
          <w:marTop w:val="0"/>
          <w:marBottom w:val="0"/>
          <w:divBdr>
            <w:top w:val="none" w:sz="0" w:space="0" w:color="auto"/>
            <w:left w:val="none" w:sz="0" w:space="0" w:color="auto"/>
            <w:bottom w:val="none" w:sz="0" w:space="0" w:color="auto"/>
            <w:right w:val="none" w:sz="0" w:space="0" w:color="auto"/>
          </w:divBdr>
          <w:divsChild>
            <w:div w:id="1390767681">
              <w:marLeft w:val="0"/>
              <w:marRight w:val="0"/>
              <w:marTop w:val="0"/>
              <w:marBottom w:val="0"/>
              <w:divBdr>
                <w:top w:val="none" w:sz="0" w:space="0" w:color="auto"/>
                <w:left w:val="none" w:sz="0" w:space="0" w:color="auto"/>
                <w:bottom w:val="none" w:sz="0" w:space="0" w:color="auto"/>
                <w:right w:val="none" w:sz="0" w:space="0" w:color="auto"/>
              </w:divBdr>
            </w:div>
          </w:divsChild>
        </w:div>
        <w:div w:id="1694650297">
          <w:marLeft w:val="0"/>
          <w:marRight w:val="0"/>
          <w:marTop w:val="0"/>
          <w:marBottom w:val="0"/>
          <w:divBdr>
            <w:top w:val="none" w:sz="0" w:space="0" w:color="auto"/>
            <w:left w:val="none" w:sz="0" w:space="0" w:color="auto"/>
            <w:bottom w:val="none" w:sz="0" w:space="0" w:color="auto"/>
            <w:right w:val="none" w:sz="0" w:space="0" w:color="auto"/>
          </w:divBdr>
          <w:divsChild>
            <w:div w:id="1463377319">
              <w:marLeft w:val="0"/>
              <w:marRight w:val="0"/>
              <w:marTop w:val="0"/>
              <w:marBottom w:val="0"/>
              <w:divBdr>
                <w:top w:val="none" w:sz="0" w:space="0" w:color="auto"/>
                <w:left w:val="none" w:sz="0" w:space="0" w:color="auto"/>
                <w:bottom w:val="none" w:sz="0" w:space="0" w:color="auto"/>
                <w:right w:val="none" w:sz="0" w:space="0" w:color="auto"/>
              </w:divBdr>
            </w:div>
          </w:divsChild>
        </w:div>
        <w:div w:id="1709065355">
          <w:marLeft w:val="0"/>
          <w:marRight w:val="0"/>
          <w:marTop w:val="0"/>
          <w:marBottom w:val="0"/>
          <w:divBdr>
            <w:top w:val="none" w:sz="0" w:space="0" w:color="auto"/>
            <w:left w:val="none" w:sz="0" w:space="0" w:color="auto"/>
            <w:bottom w:val="none" w:sz="0" w:space="0" w:color="auto"/>
            <w:right w:val="none" w:sz="0" w:space="0" w:color="auto"/>
          </w:divBdr>
          <w:divsChild>
            <w:div w:id="2064789970">
              <w:marLeft w:val="0"/>
              <w:marRight w:val="0"/>
              <w:marTop w:val="0"/>
              <w:marBottom w:val="0"/>
              <w:divBdr>
                <w:top w:val="none" w:sz="0" w:space="0" w:color="auto"/>
                <w:left w:val="none" w:sz="0" w:space="0" w:color="auto"/>
                <w:bottom w:val="none" w:sz="0" w:space="0" w:color="auto"/>
                <w:right w:val="none" w:sz="0" w:space="0" w:color="auto"/>
              </w:divBdr>
            </w:div>
          </w:divsChild>
        </w:div>
        <w:div w:id="1736322270">
          <w:marLeft w:val="0"/>
          <w:marRight w:val="0"/>
          <w:marTop w:val="0"/>
          <w:marBottom w:val="0"/>
          <w:divBdr>
            <w:top w:val="none" w:sz="0" w:space="0" w:color="auto"/>
            <w:left w:val="none" w:sz="0" w:space="0" w:color="auto"/>
            <w:bottom w:val="none" w:sz="0" w:space="0" w:color="auto"/>
            <w:right w:val="none" w:sz="0" w:space="0" w:color="auto"/>
          </w:divBdr>
          <w:divsChild>
            <w:div w:id="661392611">
              <w:marLeft w:val="0"/>
              <w:marRight w:val="0"/>
              <w:marTop w:val="0"/>
              <w:marBottom w:val="0"/>
              <w:divBdr>
                <w:top w:val="none" w:sz="0" w:space="0" w:color="auto"/>
                <w:left w:val="none" w:sz="0" w:space="0" w:color="auto"/>
                <w:bottom w:val="none" w:sz="0" w:space="0" w:color="auto"/>
                <w:right w:val="none" w:sz="0" w:space="0" w:color="auto"/>
              </w:divBdr>
            </w:div>
          </w:divsChild>
        </w:div>
        <w:div w:id="1737164015">
          <w:marLeft w:val="0"/>
          <w:marRight w:val="0"/>
          <w:marTop w:val="0"/>
          <w:marBottom w:val="0"/>
          <w:divBdr>
            <w:top w:val="none" w:sz="0" w:space="0" w:color="auto"/>
            <w:left w:val="none" w:sz="0" w:space="0" w:color="auto"/>
            <w:bottom w:val="none" w:sz="0" w:space="0" w:color="auto"/>
            <w:right w:val="none" w:sz="0" w:space="0" w:color="auto"/>
          </w:divBdr>
          <w:divsChild>
            <w:div w:id="1647011229">
              <w:marLeft w:val="0"/>
              <w:marRight w:val="0"/>
              <w:marTop w:val="0"/>
              <w:marBottom w:val="0"/>
              <w:divBdr>
                <w:top w:val="none" w:sz="0" w:space="0" w:color="auto"/>
                <w:left w:val="none" w:sz="0" w:space="0" w:color="auto"/>
                <w:bottom w:val="none" w:sz="0" w:space="0" w:color="auto"/>
                <w:right w:val="none" w:sz="0" w:space="0" w:color="auto"/>
              </w:divBdr>
            </w:div>
          </w:divsChild>
        </w:div>
        <w:div w:id="1744638382">
          <w:marLeft w:val="0"/>
          <w:marRight w:val="0"/>
          <w:marTop w:val="0"/>
          <w:marBottom w:val="0"/>
          <w:divBdr>
            <w:top w:val="none" w:sz="0" w:space="0" w:color="auto"/>
            <w:left w:val="none" w:sz="0" w:space="0" w:color="auto"/>
            <w:bottom w:val="none" w:sz="0" w:space="0" w:color="auto"/>
            <w:right w:val="none" w:sz="0" w:space="0" w:color="auto"/>
          </w:divBdr>
          <w:divsChild>
            <w:div w:id="776220011">
              <w:marLeft w:val="0"/>
              <w:marRight w:val="0"/>
              <w:marTop w:val="0"/>
              <w:marBottom w:val="0"/>
              <w:divBdr>
                <w:top w:val="none" w:sz="0" w:space="0" w:color="auto"/>
                <w:left w:val="none" w:sz="0" w:space="0" w:color="auto"/>
                <w:bottom w:val="none" w:sz="0" w:space="0" w:color="auto"/>
                <w:right w:val="none" w:sz="0" w:space="0" w:color="auto"/>
              </w:divBdr>
            </w:div>
          </w:divsChild>
        </w:div>
        <w:div w:id="1774547444">
          <w:marLeft w:val="0"/>
          <w:marRight w:val="0"/>
          <w:marTop w:val="0"/>
          <w:marBottom w:val="0"/>
          <w:divBdr>
            <w:top w:val="none" w:sz="0" w:space="0" w:color="auto"/>
            <w:left w:val="none" w:sz="0" w:space="0" w:color="auto"/>
            <w:bottom w:val="none" w:sz="0" w:space="0" w:color="auto"/>
            <w:right w:val="none" w:sz="0" w:space="0" w:color="auto"/>
          </w:divBdr>
          <w:divsChild>
            <w:div w:id="1020398876">
              <w:marLeft w:val="0"/>
              <w:marRight w:val="0"/>
              <w:marTop w:val="0"/>
              <w:marBottom w:val="0"/>
              <w:divBdr>
                <w:top w:val="none" w:sz="0" w:space="0" w:color="auto"/>
                <w:left w:val="none" w:sz="0" w:space="0" w:color="auto"/>
                <w:bottom w:val="none" w:sz="0" w:space="0" w:color="auto"/>
                <w:right w:val="none" w:sz="0" w:space="0" w:color="auto"/>
              </w:divBdr>
            </w:div>
          </w:divsChild>
        </w:div>
        <w:div w:id="1802530426">
          <w:marLeft w:val="0"/>
          <w:marRight w:val="0"/>
          <w:marTop w:val="0"/>
          <w:marBottom w:val="0"/>
          <w:divBdr>
            <w:top w:val="none" w:sz="0" w:space="0" w:color="auto"/>
            <w:left w:val="none" w:sz="0" w:space="0" w:color="auto"/>
            <w:bottom w:val="none" w:sz="0" w:space="0" w:color="auto"/>
            <w:right w:val="none" w:sz="0" w:space="0" w:color="auto"/>
          </w:divBdr>
          <w:divsChild>
            <w:div w:id="7954888">
              <w:marLeft w:val="0"/>
              <w:marRight w:val="0"/>
              <w:marTop w:val="0"/>
              <w:marBottom w:val="0"/>
              <w:divBdr>
                <w:top w:val="none" w:sz="0" w:space="0" w:color="auto"/>
                <w:left w:val="none" w:sz="0" w:space="0" w:color="auto"/>
                <w:bottom w:val="none" w:sz="0" w:space="0" w:color="auto"/>
                <w:right w:val="none" w:sz="0" w:space="0" w:color="auto"/>
              </w:divBdr>
            </w:div>
          </w:divsChild>
        </w:div>
        <w:div w:id="1846822416">
          <w:marLeft w:val="0"/>
          <w:marRight w:val="0"/>
          <w:marTop w:val="0"/>
          <w:marBottom w:val="0"/>
          <w:divBdr>
            <w:top w:val="none" w:sz="0" w:space="0" w:color="auto"/>
            <w:left w:val="none" w:sz="0" w:space="0" w:color="auto"/>
            <w:bottom w:val="none" w:sz="0" w:space="0" w:color="auto"/>
            <w:right w:val="none" w:sz="0" w:space="0" w:color="auto"/>
          </w:divBdr>
          <w:divsChild>
            <w:div w:id="1413745084">
              <w:marLeft w:val="0"/>
              <w:marRight w:val="0"/>
              <w:marTop w:val="0"/>
              <w:marBottom w:val="0"/>
              <w:divBdr>
                <w:top w:val="none" w:sz="0" w:space="0" w:color="auto"/>
                <w:left w:val="none" w:sz="0" w:space="0" w:color="auto"/>
                <w:bottom w:val="none" w:sz="0" w:space="0" w:color="auto"/>
                <w:right w:val="none" w:sz="0" w:space="0" w:color="auto"/>
              </w:divBdr>
            </w:div>
          </w:divsChild>
        </w:div>
        <w:div w:id="1900826591">
          <w:marLeft w:val="0"/>
          <w:marRight w:val="0"/>
          <w:marTop w:val="0"/>
          <w:marBottom w:val="0"/>
          <w:divBdr>
            <w:top w:val="none" w:sz="0" w:space="0" w:color="auto"/>
            <w:left w:val="none" w:sz="0" w:space="0" w:color="auto"/>
            <w:bottom w:val="none" w:sz="0" w:space="0" w:color="auto"/>
            <w:right w:val="none" w:sz="0" w:space="0" w:color="auto"/>
          </w:divBdr>
          <w:divsChild>
            <w:div w:id="1127815219">
              <w:marLeft w:val="0"/>
              <w:marRight w:val="0"/>
              <w:marTop w:val="0"/>
              <w:marBottom w:val="0"/>
              <w:divBdr>
                <w:top w:val="none" w:sz="0" w:space="0" w:color="auto"/>
                <w:left w:val="none" w:sz="0" w:space="0" w:color="auto"/>
                <w:bottom w:val="none" w:sz="0" w:space="0" w:color="auto"/>
                <w:right w:val="none" w:sz="0" w:space="0" w:color="auto"/>
              </w:divBdr>
            </w:div>
          </w:divsChild>
        </w:div>
        <w:div w:id="1934507106">
          <w:marLeft w:val="0"/>
          <w:marRight w:val="0"/>
          <w:marTop w:val="0"/>
          <w:marBottom w:val="0"/>
          <w:divBdr>
            <w:top w:val="none" w:sz="0" w:space="0" w:color="auto"/>
            <w:left w:val="none" w:sz="0" w:space="0" w:color="auto"/>
            <w:bottom w:val="none" w:sz="0" w:space="0" w:color="auto"/>
            <w:right w:val="none" w:sz="0" w:space="0" w:color="auto"/>
          </w:divBdr>
          <w:divsChild>
            <w:div w:id="167017457">
              <w:marLeft w:val="0"/>
              <w:marRight w:val="0"/>
              <w:marTop w:val="0"/>
              <w:marBottom w:val="0"/>
              <w:divBdr>
                <w:top w:val="none" w:sz="0" w:space="0" w:color="auto"/>
                <w:left w:val="none" w:sz="0" w:space="0" w:color="auto"/>
                <w:bottom w:val="none" w:sz="0" w:space="0" w:color="auto"/>
                <w:right w:val="none" w:sz="0" w:space="0" w:color="auto"/>
              </w:divBdr>
            </w:div>
          </w:divsChild>
        </w:div>
        <w:div w:id="1951473295">
          <w:marLeft w:val="0"/>
          <w:marRight w:val="0"/>
          <w:marTop w:val="0"/>
          <w:marBottom w:val="0"/>
          <w:divBdr>
            <w:top w:val="none" w:sz="0" w:space="0" w:color="auto"/>
            <w:left w:val="none" w:sz="0" w:space="0" w:color="auto"/>
            <w:bottom w:val="none" w:sz="0" w:space="0" w:color="auto"/>
            <w:right w:val="none" w:sz="0" w:space="0" w:color="auto"/>
          </w:divBdr>
          <w:divsChild>
            <w:div w:id="842354937">
              <w:marLeft w:val="0"/>
              <w:marRight w:val="0"/>
              <w:marTop w:val="0"/>
              <w:marBottom w:val="0"/>
              <w:divBdr>
                <w:top w:val="none" w:sz="0" w:space="0" w:color="auto"/>
                <w:left w:val="none" w:sz="0" w:space="0" w:color="auto"/>
                <w:bottom w:val="none" w:sz="0" w:space="0" w:color="auto"/>
                <w:right w:val="none" w:sz="0" w:space="0" w:color="auto"/>
              </w:divBdr>
            </w:div>
          </w:divsChild>
        </w:div>
        <w:div w:id="1964916697">
          <w:marLeft w:val="0"/>
          <w:marRight w:val="0"/>
          <w:marTop w:val="0"/>
          <w:marBottom w:val="0"/>
          <w:divBdr>
            <w:top w:val="none" w:sz="0" w:space="0" w:color="auto"/>
            <w:left w:val="none" w:sz="0" w:space="0" w:color="auto"/>
            <w:bottom w:val="none" w:sz="0" w:space="0" w:color="auto"/>
            <w:right w:val="none" w:sz="0" w:space="0" w:color="auto"/>
          </w:divBdr>
          <w:divsChild>
            <w:div w:id="762917474">
              <w:marLeft w:val="0"/>
              <w:marRight w:val="0"/>
              <w:marTop w:val="0"/>
              <w:marBottom w:val="0"/>
              <w:divBdr>
                <w:top w:val="none" w:sz="0" w:space="0" w:color="auto"/>
                <w:left w:val="none" w:sz="0" w:space="0" w:color="auto"/>
                <w:bottom w:val="none" w:sz="0" w:space="0" w:color="auto"/>
                <w:right w:val="none" w:sz="0" w:space="0" w:color="auto"/>
              </w:divBdr>
            </w:div>
          </w:divsChild>
        </w:div>
        <w:div w:id="1970547071">
          <w:marLeft w:val="0"/>
          <w:marRight w:val="0"/>
          <w:marTop w:val="0"/>
          <w:marBottom w:val="0"/>
          <w:divBdr>
            <w:top w:val="none" w:sz="0" w:space="0" w:color="auto"/>
            <w:left w:val="none" w:sz="0" w:space="0" w:color="auto"/>
            <w:bottom w:val="none" w:sz="0" w:space="0" w:color="auto"/>
            <w:right w:val="none" w:sz="0" w:space="0" w:color="auto"/>
          </w:divBdr>
          <w:divsChild>
            <w:div w:id="934092969">
              <w:marLeft w:val="0"/>
              <w:marRight w:val="0"/>
              <w:marTop w:val="0"/>
              <w:marBottom w:val="0"/>
              <w:divBdr>
                <w:top w:val="none" w:sz="0" w:space="0" w:color="auto"/>
                <w:left w:val="none" w:sz="0" w:space="0" w:color="auto"/>
                <w:bottom w:val="none" w:sz="0" w:space="0" w:color="auto"/>
                <w:right w:val="none" w:sz="0" w:space="0" w:color="auto"/>
              </w:divBdr>
            </w:div>
          </w:divsChild>
        </w:div>
        <w:div w:id="2051146291">
          <w:marLeft w:val="0"/>
          <w:marRight w:val="0"/>
          <w:marTop w:val="0"/>
          <w:marBottom w:val="0"/>
          <w:divBdr>
            <w:top w:val="none" w:sz="0" w:space="0" w:color="auto"/>
            <w:left w:val="none" w:sz="0" w:space="0" w:color="auto"/>
            <w:bottom w:val="none" w:sz="0" w:space="0" w:color="auto"/>
            <w:right w:val="none" w:sz="0" w:space="0" w:color="auto"/>
          </w:divBdr>
          <w:divsChild>
            <w:div w:id="1520660047">
              <w:marLeft w:val="0"/>
              <w:marRight w:val="0"/>
              <w:marTop w:val="0"/>
              <w:marBottom w:val="0"/>
              <w:divBdr>
                <w:top w:val="none" w:sz="0" w:space="0" w:color="auto"/>
                <w:left w:val="none" w:sz="0" w:space="0" w:color="auto"/>
                <w:bottom w:val="none" w:sz="0" w:space="0" w:color="auto"/>
                <w:right w:val="none" w:sz="0" w:space="0" w:color="auto"/>
              </w:divBdr>
            </w:div>
          </w:divsChild>
        </w:div>
        <w:div w:id="2053920744">
          <w:marLeft w:val="0"/>
          <w:marRight w:val="0"/>
          <w:marTop w:val="0"/>
          <w:marBottom w:val="0"/>
          <w:divBdr>
            <w:top w:val="none" w:sz="0" w:space="0" w:color="auto"/>
            <w:left w:val="none" w:sz="0" w:space="0" w:color="auto"/>
            <w:bottom w:val="none" w:sz="0" w:space="0" w:color="auto"/>
            <w:right w:val="none" w:sz="0" w:space="0" w:color="auto"/>
          </w:divBdr>
          <w:divsChild>
            <w:div w:id="1323775810">
              <w:marLeft w:val="0"/>
              <w:marRight w:val="0"/>
              <w:marTop w:val="0"/>
              <w:marBottom w:val="0"/>
              <w:divBdr>
                <w:top w:val="none" w:sz="0" w:space="0" w:color="auto"/>
                <w:left w:val="none" w:sz="0" w:space="0" w:color="auto"/>
                <w:bottom w:val="none" w:sz="0" w:space="0" w:color="auto"/>
                <w:right w:val="none" w:sz="0" w:space="0" w:color="auto"/>
              </w:divBdr>
            </w:div>
          </w:divsChild>
        </w:div>
        <w:div w:id="2072462669">
          <w:marLeft w:val="0"/>
          <w:marRight w:val="0"/>
          <w:marTop w:val="0"/>
          <w:marBottom w:val="0"/>
          <w:divBdr>
            <w:top w:val="none" w:sz="0" w:space="0" w:color="auto"/>
            <w:left w:val="none" w:sz="0" w:space="0" w:color="auto"/>
            <w:bottom w:val="none" w:sz="0" w:space="0" w:color="auto"/>
            <w:right w:val="none" w:sz="0" w:space="0" w:color="auto"/>
          </w:divBdr>
          <w:divsChild>
            <w:div w:id="477890160">
              <w:marLeft w:val="0"/>
              <w:marRight w:val="0"/>
              <w:marTop w:val="0"/>
              <w:marBottom w:val="0"/>
              <w:divBdr>
                <w:top w:val="none" w:sz="0" w:space="0" w:color="auto"/>
                <w:left w:val="none" w:sz="0" w:space="0" w:color="auto"/>
                <w:bottom w:val="none" w:sz="0" w:space="0" w:color="auto"/>
                <w:right w:val="none" w:sz="0" w:space="0" w:color="auto"/>
              </w:divBdr>
            </w:div>
          </w:divsChild>
        </w:div>
        <w:div w:id="2074153924">
          <w:marLeft w:val="0"/>
          <w:marRight w:val="0"/>
          <w:marTop w:val="0"/>
          <w:marBottom w:val="0"/>
          <w:divBdr>
            <w:top w:val="none" w:sz="0" w:space="0" w:color="auto"/>
            <w:left w:val="none" w:sz="0" w:space="0" w:color="auto"/>
            <w:bottom w:val="none" w:sz="0" w:space="0" w:color="auto"/>
            <w:right w:val="none" w:sz="0" w:space="0" w:color="auto"/>
          </w:divBdr>
          <w:divsChild>
            <w:div w:id="294214759">
              <w:marLeft w:val="0"/>
              <w:marRight w:val="0"/>
              <w:marTop w:val="0"/>
              <w:marBottom w:val="0"/>
              <w:divBdr>
                <w:top w:val="none" w:sz="0" w:space="0" w:color="auto"/>
                <w:left w:val="none" w:sz="0" w:space="0" w:color="auto"/>
                <w:bottom w:val="none" w:sz="0" w:space="0" w:color="auto"/>
                <w:right w:val="none" w:sz="0" w:space="0" w:color="auto"/>
              </w:divBdr>
            </w:div>
          </w:divsChild>
        </w:div>
        <w:div w:id="2088577081">
          <w:marLeft w:val="0"/>
          <w:marRight w:val="0"/>
          <w:marTop w:val="0"/>
          <w:marBottom w:val="0"/>
          <w:divBdr>
            <w:top w:val="none" w:sz="0" w:space="0" w:color="auto"/>
            <w:left w:val="none" w:sz="0" w:space="0" w:color="auto"/>
            <w:bottom w:val="none" w:sz="0" w:space="0" w:color="auto"/>
            <w:right w:val="none" w:sz="0" w:space="0" w:color="auto"/>
          </w:divBdr>
          <w:divsChild>
            <w:div w:id="163120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90391">
      <w:bodyDiv w:val="1"/>
      <w:marLeft w:val="0"/>
      <w:marRight w:val="0"/>
      <w:marTop w:val="0"/>
      <w:marBottom w:val="0"/>
      <w:divBdr>
        <w:top w:val="none" w:sz="0" w:space="0" w:color="auto"/>
        <w:left w:val="none" w:sz="0" w:space="0" w:color="auto"/>
        <w:bottom w:val="none" w:sz="0" w:space="0" w:color="auto"/>
        <w:right w:val="none" w:sz="0" w:space="0" w:color="auto"/>
      </w:divBdr>
      <w:divsChild>
        <w:div w:id="580914056">
          <w:marLeft w:val="446"/>
          <w:marRight w:val="0"/>
          <w:marTop w:val="0"/>
          <w:marBottom w:val="0"/>
          <w:divBdr>
            <w:top w:val="none" w:sz="0" w:space="0" w:color="auto"/>
            <w:left w:val="none" w:sz="0" w:space="0" w:color="auto"/>
            <w:bottom w:val="none" w:sz="0" w:space="0" w:color="auto"/>
            <w:right w:val="none" w:sz="0" w:space="0" w:color="auto"/>
          </w:divBdr>
        </w:div>
      </w:divsChild>
    </w:div>
    <w:div w:id="1985042198">
      <w:bodyDiv w:val="1"/>
      <w:marLeft w:val="0"/>
      <w:marRight w:val="0"/>
      <w:marTop w:val="0"/>
      <w:marBottom w:val="0"/>
      <w:divBdr>
        <w:top w:val="none" w:sz="0" w:space="0" w:color="auto"/>
        <w:left w:val="none" w:sz="0" w:space="0" w:color="auto"/>
        <w:bottom w:val="none" w:sz="0" w:space="0" w:color="auto"/>
        <w:right w:val="none" w:sz="0" w:space="0" w:color="auto"/>
      </w:divBdr>
    </w:div>
    <w:div w:id="2033454745">
      <w:bodyDiv w:val="1"/>
      <w:marLeft w:val="0"/>
      <w:marRight w:val="0"/>
      <w:marTop w:val="0"/>
      <w:marBottom w:val="0"/>
      <w:divBdr>
        <w:top w:val="none" w:sz="0" w:space="0" w:color="auto"/>
        <w:left w:val="none" w:sz="0" w:space="0" w:color="auto"/>
        <w:bottom w:val="none" w:sz="0" w:space="0" w:color="auto"/>
        <w:right w:val="none" w:sz="0" w:space="0" w:color="auto"/>
      </w:divBdr>
    </w:div>
    <w:div w:id="2065521313">
      <w:bodyDiv w:val="1"/>
      <w:marLeft w:val="0"/>
      <w:marRight w:val="0"/>
      <w:marTop w:val="0"/>
      <w:marBottom w:val="0"/>
      <w:divBdr>
        <w:top w:val="none" w:sz="0" w:space="0" w:color="auto"/>
        <w:left w:val="none" w:sz="0" w:space="0" w:color="auto"/>
        <w:bottom w:val="none" w:sz="0" w:space="0" w:color="auto"/>
        <w:right w:val="none" w:sz="0" w:space="0" w:color="auto"/>
      </w:divBdr>
      <w:divsChild>
        <w:div w:id="1925531352">
          <w:marLeft w:val="547"/>
          <w:marRight w:val="0"/>
          <w:marTop w:val="0"/>
          <w:marBottom w:val="0"/>
          <w:divBdr>
            <w:top w:val="none" w:sz="0" w:space="0" w:color="auto"/>
            <w:left w:val="none" w:sz="0" w:space="0" w:color="auto"/>
            <w:bottom w:val="none" w:sz="0" w:space="0" w:color="auto"/>
            <w:right w:val="none" w:sz="0" w:space="0" w:color="auto"/>
          </w:divBdr>
        </w:div>
      </w:divsChild>
    </w:div>
    <w:div w:id="2127694178">
      <w:bodyDiv w:val="1"/>
      <w:marLeft w:val="0"/>
      <w:marRight w:val="0"/>
      <w:marTop w:val="0"/>
      <w:marBottom w:val="0"/>
      <w:divBdr>
        <w:top w:val="none" w:sz="0" w:space="0" w:color="auto"/>
        <w:left w:val="none" w:sz="0" w:space="0" w:color="auto"/>
        <w:bottom w:val="none" w:sz="0" w:space="0" w:color="auto"/>
        <w:right w:val="none" w:sz="0" w:space="0" w:color="auto"/>
      </w:divBdr>
    </w:div>
    <w:div w:id="2135370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robin.merlier@undp.org" TargetMode="External"/><Relationship Id="rId26" Type="http://schemas.openxmlformats.org/officeDocument/2006/relationships/hyperlink" Target="https://popp.undp.org/programme-and-project-management" TargetMode="External"/><Relationship Id="rId39" Type="http://schemas.openxmlformats.org/officeDocument/2006/relationships/glossaryDocument" Target="glossary/document.xml"/><Relationship Id="rId21" Type="http://schemas.openxmlformats.org/officeDocument/2006/relationships/hyperlink" Target="mailto:nathaniel.pappoe@undp.org" TargetMode="External"/><Relationship Id="rId34" Type="http://schemas.openxmlformats.org/officeDocument/2006/relationships/hyperlink" Target="https://srm.info.undp.org/"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mailto:nancy.bennet@undp.org" TargetMode="External"/><Relationship Id="rId25" Type="http://schemas.openxmlformats.org/officeDocument/2006/relationships/image" Target="media/image2.png"/><Relationship Id="rId33" Type="http://schemas.openxmlformats.org/officeDocument/2006/relationships/hyperlink" Target="https://www.undp.org/accountability/audit/social-and-environmental-compliance-review-and-stakeholder-response-mechanism"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claudia.ortiz@undp.org" TargetMode="External"/><Relationship Id="rId29" Type="http://schemas.openxmlformats.org/officeDocument/2006/relationships/hyperlink" Target="https://www.un.org/securitycouncil/content/un-scconsolidate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hyperlink" Target="https://www.undp.org/accountability/audit/social-and-environmental-compliance-review-and-stakeholder-response-mechanism" TargetMode="External"/><Relationship Id="rId37" Type="http://schemas.openxmlformats.org/officeDocument/2006/relationships/hyperlink" Target="https://www.undp.org/kyrgyzstan"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azamat.usubaliev@undp.org" TargetMode="External"/><Relationship Id="rId28" Type="http://schemas.openxmlformats.org/officeDocument/2006/relationships/image" Target="media/image3.png"/><Relationship Id="rId36" Type="http://schemas.openxmlformats.org/officeDocument/2006/relationships/hyperlink" Target="https://info.undp.org/sites/bpps/SES_Toolkit/SES%20Document%20Library/Uploaded%20October%202016/UNDP%20SES%20Supplemental%20Guidance_Grievance%20Redress%20Mechanisms.pdf" TargetMode="External"/><Relationship Id="rId10" Type="http://schemas.openxmlformats.org/officeDocument/2006/relationships/footnotes" Target="footnotes.xml"/><Relationship Id="rId19" Type="http://schemas.openxmlformats.org/officeDocument/2006/relationships/hyperlink" Target="mailto:patricia.velasco@undp.org" TargetMode="External"/><Relationship Id="rId31" Type="http://schemas.openxmlformats.org/officeDocument/2006/relationships/hyperlink" Target="https://www.undp.org/accountability/audit/social-and-environmental-compliance-review-and-stakeholder-response-mechanis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mailto:monica.rijal@undp.org" TargetMode="External"/><Relationship Id="rId27" Type="http://schemas.openxmlformats.org/officeDocument/2006/relationships/hyperlink" Target="https://popp.undp.org/SitePages/POPPSubject.aspx?SBJID=12&amp;Menu=BusinessUnit" TargetMode="External"/><Relationship Id="rId30" Type="http://schemas.openxmlformats.org/officeDocument/2006/relationships/hyperlink" Target="https://popp.undp.org/_layouts/15/WopiFrame.aspx?sourcedoc=/UNDP_POPP_DOCUMENT_LIBRARY/Public/Ethi" TargetMode="External"/><Relationship Id="rId35" Type="http://schemas.openxmlformats.org/officeDocument/2006/relationships/hyperlink" Target="https://secu.info.undp.org/"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6" Type="http://schemas.openxmlformats.org/officeDocument/2006/relationships/hyperlink" Target="https://kyrgyzstan.un.org/sites/default/files/2024-04/ENG%20UN%20Common%20country%20analysis%20for%20the%20KG-2023.pdf" TargetMode="External"/><Relationship Id="rId21" Type="http://schemas.openxmlformats.org/officeDocument/2006/relationships/hyperlink" Target="https://hdr.undp.org/content/2024-global-multidimensional-poverty-index-mpi" TargetMode="External"/><Relationship Id="rId42" Type="http://schemas.openxmlformats.org/officeDocument/2006/relationships/hyperlink" Target="https://documents1.worldbank.org/curated/ar/788321558682372895/pdf/Climate-Investment-Programme-Operational-Framework-for-Managing-and-Accessing-Climate-Finance-in-the-Kyrgyz-Republic.pdf" TargetMode="External"/><Relationship Id="rId47" Type="http://schemas.openxmlformats.org/officeDocument/2006/relationships/hyperlink" Target="https://www.undp.org/kyrgyzstan/publications/green-finance-market-assessment-kyrgyzstan" TargetMode="External"/><Relationship Id="rId63" Type="http://schemas.openxmlformats.org/officeDocument/2006/relationships/hyperlink" Target="https://www.undp.org/sites/g/files/zskgke326/files/2023-11/undp_kgz_ge_strategy_2023-27.pdf" TargetMode="External"/><Relationship Id="rId68" Type="http://schemas.openxmlformats.org/officeDocument/2006/relationships/hyperlink" Target="https://hdr.undp.org/data-center/specific-country-data" TargetMode="External"/><Relationship Id="rId84" Type="http://schemas.openxmlformats.org/officeDocument/2006/relationships/hyperlink" Target="https://www.greenclimate.fund/sites/default/files/document/funding-proposal-fp116-fao-kyrgyzstan.pdf" TargetMode="External"/><Relationship Id="rId89" Type="http://schemas.openxmlformats.org/officeDocument/2006/relationships/hyperlink" Target="https://www.greenclimate.fund/sites/default/files/document/fp204-world-bank-multiple-countries.pdf" TargetMode="External"/><Relationship Id="rId16" Type="http://schemas.openxmlformats.org/officeDocument/2006/relationships/hyperlink" Target="https://kyrgyzstan.iom.int/sites/g/files/tmzbdl1321/files/documents/2024-04/compilation_report_dec_2023.pdf" TargetMode="External"/><Relationship Id="rId11" Type="http://schemas.openxmlformats.org/officeDocument/2006/relationships/hyperlink" Target="https://stat.gov.kg/ru/statistics/vneshneekonomicheskaya-deyatelnost/" TargetMode="External"/><Relationship Id="rId32" Type="http://schemas.openxmlformats.org/officeDocument/2006/relationships/hyperlink" Target="https://docs.wfp.org/api/documents/WFP-0000009143/download/" TargetMode="External"/><Relationship Id="rId37" Type="http://schemas.openxmlformats.org/officeDocument/2006/relationships/hyperlink" Target="https://climateknowledgeportal.worldbank.org/sites/default/files/country-profiles/17036-WB_Kyrgyz-Republic-Country-Profile-WEB.pdf" TargetMode="External"/><Relationship Id="rId53" Type="http://schemas.openxmlformats.org/officeDocument/2006/relationships/hyperlink" Target="https://climate-laws.org/document/program-for-the-development-of-a-green-economy-in-the-kyrgyz-republic-for-2019-2023_934c" TargetMode="External"/><Relationship Id="rId58" Type="http://schemas.openxmlformats.org/officeDocument/2006/relationships/hyperlink" Target="https://cbd.minjust.gov.kg/159102/edition/1169203/ru" TargetMode="External"/><Relationship Id="rId74" Type="http://schemas.openxmlformats.org/officeDocument/2006/relationships/hyperlink" Target="https://www.greenclimate.fund/sites/default/files/document/kyrgyzstan-nap-undp.pdf" TargetMode="External"/><Relationship Id="rId79" Type="http://schemas.openxmlformats.org/officeDocument/2006/relationships/hyperlink" Target="https://www.greenclimate.fund/sites/default/files/document/gcf-gender-policy.pdf" TargetMode="External"/><Relationship Id="rId5" Type="http://schemas.openxmlformats.org/officeDocument/2006/relationships/hyperlink" Target="https://www.worldbank.org/en/news/feature/2022/05/06/sustaining-small-business-through-the-pandemic-in-kyrgyz-republic" TargetMode="External"/><Relationship Id="rId90" Type="http://schemas.openxmlformats.org/officeDocument/2006/relationships/hyperlink" Target="https://www.greenclimate.fund/project/fp253" TargetMode="External"/><Relationship Id="rId95" Type="http://schemas.openxmlformats.org/officeDocument/2006/relationships/hyperlink" Target="https://www.greenclimate.fund/sites/default/files/document/kgz004.pdf" TargetMode="External"/><Relationship Id="rId22" Type="http://schemas.openxmlformats.org/officeDocument/2006/relationships/hyperlink" Target="https://stat.gov.kg/ru/statistics/zanyatost/" TargetMode="External"/><Relationship Id="rId27" Type="http://schemas.openxmlformats.org/officeDocument/2006/relationships/hyperlink" Target="https://climateknowledgeportal.worldbank.org/sites/default/files/country-profiles/17036-WB_Kyrgyz-Republic-Country-Profile-WEB.pdf" TargetMode="External"/><Relationship Id="rId43" Type="http://schemas.openxmlformats.org/officeDocument/2006/relationships/hyperlink" Target="https://mineconom.gov.kg/froala/uploads/file/652212a61eaece69258d0b5acab1d7fb9b70a5d4.pdf" TargetMode="External"/><Relationship Id="rId48" Type="http://schemas.openxmlformats.org/officeDocument/2006/relationships/hyperlink" Target="https://www.undp.org/kyrgyzstan/press-releases/undp-kyrgyzstan-supported-state-development-bank-launch-new-product-field-green-financing" TargetMode="External"/><Relationship Id="rId64" Type="http://schemas.openxmlformats.org/officeDocument/2006/relationships/hyperlink" Target="https://cbd.minjust.gov.kg/159472/edition/1189691/ru" TargetMode="External"/><Relationship Id="rId69" Type="http://schemas.openxmlformats.org/officeDocument/2006/relationships/hyperlink" Target="https://www.adb.org/sites/default/files/institutional-document/546966/kyrgyzrepublic-country-gender-assessment-2019.pdf" TargetMode="External"/><Relationship Id="rId80" Type="http://schemas.openxmlformats.org/officeDocument/2006/relationships/hyperlink" Target="https://www.undp.org/kyrgyzstan/publications/green-finance-market-assessment-kyrgyzstan" TargetMode="External"/><Relationship Id="rId85" Type="http://schemas.openxmlformats.org/officeDocument/2006/relationships/hyperlink" Target="https://www.greenclimate.fund/sites/default/files/document/fp116-annual-performance-report-cy2022-v.pdf" TargetMode="External"/><Relationship Id="rId12" Type="http://schemas.openxmlformats.org/officeDocument/2006/relationships/hyperlink" Target="https://www.wfpusa.org/countries/kyrgyzstan/" TargetMode="External"/><Relationship Id="rId17" Type="http://schemas.openxmlformats.org/officeDocument/2006/relationships/hyperlink" Target="https://stat.gov.kg/ru/statistics/obrazovanie/" TargetMode="External"/><Relationship Id="rId25" Type="http://schemas.openxmlformats.org/officeDocument/2006/relationships/hyperlink" Target="https://www.elibrary.imf.org/downloadpdf/journals/002/2023/092/article-A002-en.xml" TargetMode="External"/><Relationship Id="rId33" Type="http://schemas.openxmlformats.org/officeDocument/2006/relationships/hyperlink" Target="https://unfccc.int/sites/default/files/resource/NC3_Kyrgyzstan_English_24Jan2017_0.pdf" TargetMode="External"/><Relationship Id="rId38" Type="http://schemas.openxmlformats.org/officeDocument/2006/relationships/hyperlink" Target="https://unfccc.int/sites/default/files/NDC/2022-06/%D0%9E%D0%9D%D0%A3%D0%92%20ENG%20%D0%BE%D1%82%2008102021.pdf" TargetMode="External"/><Relationship Id="rId46" Type="http://schemas.openxmlformats.org/officeDocument/2006/relationships/hyperlink" Target="https://www.undp.org/kyrgyzstan/publications/green-finance-market-assessment-kyrgyzstan" TargetMode="External"/><Relationship Id="rId59" Type="http://schemas.openxmlformats.org/officeDocument/2006/relationships/hyperlink" Target="https://cbd.minjust.gov.kg/159102/edition/1169203/ru" TargetMode="External"/><Relationship Id="rId67" Type="http://schemas.openxmlformats.org/officeDocument/2006/relationships/hyperlink" Target="https://hdr.undp.org/content/human-development-report-2023-24" TargetMode="External"/><Relationship Id="rId20" Type="http://schemas.openxmlformats.org/officeDocument/2006/relationships/hyperlink" Target="https://reliefweb.int/report/kyrgyzstan/price-monitoring-food-security-kyrgyz-republic-issue-82-02-august-2024" TargetMode="External"/><Relationship Id="rId41" Type="http://schemas.openxmlformats.org/officeDocument/2006/relationships/hyperlink" Target="https://mnr.gov.kg/ru/page/vybrosy-kadastr?from=2010&amp;to=2020&amp;category=10&amp;type=line&amp;datalabel=hide&amp;checked=427%2C428%2C439%2C469%2C551" TargetMode="External"/><Relationship Id="rId54" Type="http://schemas.openxmlformats.org/officeDocument/2006/relationships/hyperlink" Target="https://cbd.minjust.gov.kg/112424/edition/1262743/ru" TargetMode="External"/><Relationship Id="rId62" Type="http://schemas.openxmlformats.org/officeDocument/2006/relationships/hyperlink" Target="https://cbd.minjust.gov.kg/112424/edition/1262743/ru" TargetMode="External"/><Relationship Id="rId70" Type="http://schemas.openxmlformats.org/officeDocument/2006/relationships/hyperlink" Target="https://climateknowledgeportal.worldbank.org/sites/default/files/country-profiles/17036-WB_Kyrgyz-Republic-Country-Profile-WEB.pdf" TargetMode="External"/><Relationship Id="rId75" Type="http://schemas.openxmlformats.org/officeDocument/2006/relationships/hyperlink" Target="https://cbd.minjust.gov.kg/159472/edition/1189691/ru" TargetMode="External"/><Relationship Id="rId83" Type="http://schemas.openxmlformats.org/officeDocument/2006/relationships/hyperlink" Target="https://www.greenclimate.fund/project/fp116" TargetMode="External"/><Relationship Id="rId88" Type="http://schemas.openxmlformats.org/officeDocument/2006/relationships/hyperlink" Target="https://www.greenclimate.fund/project/fp204" TargetMode="External"/><Relationship Id="rId91" Type="http://schemas.openxmlformats.org/officeDocument/2006/relationships/hyperlink" Target="https://www.greenclimate.fund/sites/default/files/document/gcf-b40-02-add15-funding-proposal-pacakge-fp253.pdf" TargetMode="External"/><Relationship Id="rId96" Type="http://schemas.openxmlformats.org/officeDocument/2006/relationships/hyperlink" Target="https://www.undp.org/kyrgyzstan/press-releases/strategic-financing-biodiversity-biofins-impact-kyrgyzstans-conservation-efforts" TargetMode="External"/><Relationship Id="rId1" Type="http://schemas.openxmlformats.org/officeDocument/2006/relationships/hyperlink" Target="https://stat.gov.kg/ru/statistics/naselenie/" TargetMode="External"/><Relationship Id="rId6" Type="http://schemas.openxmlformats.org/officeDocument/2006/relationships/hyperlink" Target="https://stat.gov.kg/ru/statistics/nacionalnye-scheta/" TargetMode="External"/><Relationship Id="rId15" Type="http://schemas.openxmlformats.org/officeDocument/2006/relationships/hyperlink" Target="https://stat.gov.kg/ru/statistics/naselenie/" TargetMode="External"/><Relationship Id="rId23" Type="http://schemas.openxmlformats.org/officeDocument/2006/relationships/hyperlink" Target="https://stat.gov.kg/ru/opendata/category/332/" TargetMode="External"/><Relationship Id="rId28" Type="http://schemas.openxmlformats.org/officeDocument/2006/relationships/hyperlink" Target="https://www.climatelinks.org/sites/default/files/asset/document/2021-07/2021_USAID_CDCS-Annex-Kyrgyz-Republic.pdf" TargetMode="External"/><Relationship Id="rId36" Type="http://schemas.openxmlformats.org/officeDocument/2006/relationships/hyperlink" Target="https://www.undp.org/kyrgyzstan/publications/air-quality-bishkek-assessment-emission-sources-and-roadmap-supporting-air-quality-management" TargetMode="External"/><Relationship Id="rId49" Type="http://schemas.openxmlformats.org/officeDocument/2006/relationships/hyperlink" Target="https://sdgs.un.org/system/files/webform/sdg_national_commitments_form/21799/national_development_strategy_of_kr_2018-2040_final_eng.pdf" TargetMode="External"/><Relationship Id="rId57" Type="http://schemas.openxmlformats.org/officeDocument/2006/relationships/hyperlink" Target="https://mineconom.gov.kg/ru/direct/302/sub/492" TargetMode="External"/><Relationship Id="rId10" Type="http://schemas.openxmlformats.org/officeDocument/2006/relationships/hyperlink" Target="https://www.econstor.eu/bitstream/10419/222739/1/1668736993.pdf" TargetMode="External"/><Relationship Id="rId31" Type="http://schemas.openxmlformats.org/officeDocument/2006/relationships/hyperlink" Target="https://unfccc.int/sites/default/files/NDC/2022-06/%D0%9E%D0%9D%D0%A3%D0%92%20ENG%20%D0%BE%D1%82%2008102021.pdf" TargetMode="External"/><Relationship Id="rId44" Type="http://schemas.openxmlformats.org/officeDocument/2006/relationships/hyperlink" Target="https://unfccc.int/sites/default/files/NDC/2022-06/%D0%9E%D0%9D%D0%A3%D0%92%20ENG%20%D0%BE%D1%82%2008102021.pdf" TargetMode="External"/><Relationship Id="rId52" Type="http://schemas.openxmlformats.org/officeDocument/2006/relationships/hyperlink" Target="https://www.undp.org/kyrgyzstan/press-releases/advancing-national-adaptation-plan-climate-change-kyrgyzstan" TargetMode="External"/><Relationship Id="rId60" Type="http://schemas.openxmlformats.org/officeDocument/2006/relationships/hyperlink" Target="https://cbd.minjust.gov.kg/7-21240/edition/1271105/ru" TargetMode="External"/><Relationship Id="rId65" Type="http://schemas.openxmlformats.org/officeDocument/2006/relationships/hyperlink" Target="https://www.undp.org/sites/g/files/zskgke326/files/2023-11/undp_kgz_ge_strategy_2023-27.pdf" TargetMode="External"/><Relationship Id="rId73" Type="http://schemas.openxmlformats.org/officeDocument/2006/relationships/hyperlink" Target="https://unfccc.int/sites/default/files/NDC/2022-06/%D0%9E%D0%9D%D0%A3%D0%92%20ENG%20%D0%BE%D1%82%2008102021.pdf" TargetMode="External"/><Relationship Id="rId78" Type="http://schemas.openxmlformats.org/officeDocument/2006/relationships/hyperlink" Target="https://www.undp.org/sites/g/files/zskgke326/files/2023-11/undp_kgz_ge_strategy_2023-27.pdf" TargetMode="External"/><Relationship Id="rId81" Type="http://schemas.openxmlformats.org/officeDocument/2006/relationships/hyperlink" Target="https://www.undp.org/kyrgyzstan/press-releases/undp-contributes-green-finance-market-development-kyrgyzstan" TargetMode="External"/><Relationship Id="rId86" Type="http://schemas.openxmlformats.org/officeDocument/2006/relationships/hyperlink" Target="https://www.greenclimate.fund/sites/default/files/document/funding-proposal-sap002-wfp-kyrgyzstan.pdf" TargetMode="External"/><Relationship Id="rId94" Type="http://schemas.openxmlformats.org/officeDocument/2006/relationships/hyperlink" Target="https://www.greenclimate.fund/sites/default/files/document/kyrgyzstan-nap-undp.pdf" TargetMode="External"/><Relationship Id="rId99" Type="http://schemas.openxmlformats.org/officeDocument/2006/relationships/hyperlink" Target="https://www.undp.org/kyrgyzstan/press-releases/undp-kyrgyzstan-supported-state-development-bank-launch-new-product-field-green-financing" TargetMode="External"/><Relationship Id="rId101" Type="http://schemas.openxmlformats.org/officeDocument/2006/relationships/hyperlink" Target="https://documents1.worldbank.org/curated/ar/788321558682372895/pdf/Climate-Investment-Programme-Operational-Framework-for-Managing-and-Accessing-Climate-Finance-in-the-Kyrgyz-Republic.pdf" TargetMode="External"/><Relationship Id="rId4" Type="http://schemas.openxmlformats.org/officeDocument/2006/relationships/hyperlink" Target="https://www.imf.org/en/Publications/WEO/Issues/2024/10/22/world-economic-outlook-october-2024" TargetMode="External"/><Relationship Id="rId9" Type="http://schemas.openxmlformats.org/officeDocument/2006/relationships/hyperlink" Target="https://kyrgyzstan.un.org/sites/default/files/2024-04/ENG%20UN%20Common%20country%20analysis%20for%20the%20KG-2023.pdf" TargetMode="External"/><Relationship Id="rId13" Type="http://schemas.openxmlformats.org/officeDocument/2006/relationships/hyperlink" Target="https://kyrgyzstan.iom.int/sites/g/files/tmzbdl1321/files/documents/2024-04/compilation_report_dec_2023.pdf" TargetMode="External"/><Relationship Id="rId18" Type="http://schemas.openxmlformats.org/officeDocument/2006/relationships/hyperlink" Target="https://stat.gov.kg/ru/publications/uroven-bednosti-v-kyrgyzskoj-respublike/" TargetMode="External"/><Relationship Id="rId39" Type="http://schemas.openxmlformats.org/officeDocument/2006/relationships/hyperlink" Target="https://unfccc.int/sites/default/files/NDC/2022-06/%D0%9E%D0%9D%D0%A3%D0%92%20ENG%20%D0%BE%D1%82%2008102021.pdf" TargetMode="External"/><Relationship Id="rId34" Type="http://schemas.openxmlformats.org/officeDocument/2006/relationships/hyperlink" Target="https://www.who.int/globalchange/publications/quantitative-risk-assessment/en/" TargetMode="External"/><Relationship Id="rId50" Type="http://schemas.openxmlformats.org/officeDocument/2006/relationships/hyperlink" Target="https://www.gov.kg/ru/programs/16" TargetMode="External"/><Relationship Id="rId55" Type="http://schemas.openxmlformats.org/officeDocument/2006/relationships/hyperlink" Target="https://www.nbkr.kg/contout.jsp?item=56&amp;lang=RUS&amp;material=44955" TargetMode="External"/><Relationship Id="rId76" Type="http://schemas.openxmlformats.org/officeDocument/2006/relationships/hyperlink" Target="https://www.un.org/en/climatechange/science/climate-issues/women" TargetMode="External"/><Relationship Id="rId97" Type="http://schemas.openxmlformats.org/officeDocument/2006/relationships/hyperlink" Target="https://www.undp.org/kyrgyzstan/press-releases/page-accelerates-policy-reforms-promote-green-economy-kyrgyzstan" TargetMode="External"/><Relationship Id="rId7" Type="http://schemas.openxmlformats.org/officeDocument/2006/relationships/hyperlink" Target="https://stat.gov.kg/ru/publications/sbornik-turizm-v-kyrgyzstane/" TargetMode="External"/><Relationship Id="rId71" Type="http://schemas.openxmlformats.org/officeDocument/2006/relationships/hyperlink" Target="https://www.adb.org/sites/default/files/institutional-document/546966/kyrgyzrepublic-country-gender-assessment-2019.pdf" TargetMode="External"/><Relationship Id="rId92" Type="http://schemas.openxmlformats.org/officeDocument/2006/relationships/hyperlink" Target="https://www.greenclimate.fund/project/fp225" TargetMode="External"/><Relationship Id="rId2" Type="http://schemas.openxmlformats.org/officeDocument/2006/relationships/hyperlink" Target="https://cbd.minjust.gov.kg/430700/edition/13462/ru" TargetMode="External"/><Relationship Id="rId29" Type="http://schemas.openxmlformats.org/officeDocument/2006/relationships/hyperlink" Target="https://climateknowledgeportal.worldbank.org/sites/default/files/country-profiles/17036-WB_Kyrgyz-Republic-Country-Profile-WEB.pdf" TargetMode="External"/><Relationship Id="rId24" Type="http://schemas.openxmlformats.org/officeDocument/2006/relationships/hyperlink" Target="https://unece.org/sites/default/files/2021-11/Childcare_WE_Covid-19_Kyrgyzstan_en.pdf" TargetMode="External"/><Relationship Id="rId40" Type="http://schemas.openxmlformats.org/officeDocument/2006/relationships/hyperlink" Target="https://unfccc.int/sites/default/files/NDC/2022-06/%D0%9E%D0%9D%D0%A3%D0%92%20ENG%20%D0%BE%D1%82%2008102021.pdf" TargetMode="External"/><Relationship Id="rId45" Type="http://schemas.openxmlformats.org/officeDocument/2006/relationships/hyperlink" Target="https://www.undp.org/sites/g/files/zskgke326/files/2024-11/the_concept_of_the_development_of_climate_finance_in_the_kyrgyz_republic.pdf" TargetMode="External"/><Relationship Id="rId66" Type="http://schemas.openxmlformats.org/officeDocument/2006/relationships/hyperlink" Target="https://www.undp.org/kyrgyzstan/press-releases/rich-countries-attain-record-human-development-half-poorest-have-gone-backwards-finds-un-development-programme" TargetMode="External"/><Relationship Id="rId87" Type="http://schemas.openxmlformats.org/officeDocument/2006/relationships/hyperlink" Target="https://www.greenclimate.fund/sites/default/files/document/sap002-annual-performance-report-cy2023.pdf" TargetMode="External"/><Relationship Id="rId61" Type="http://schemas.openxmlformats.org/officeDocument/2006/relationships/hyperlink" Target="https://cbd.minjust.gov.kg/99775/edition/17052/ru" TargetMode="External"/><Relationship Id="rId82" Type="http://schemas.openxmlformats.org/officeDocument/2006/relationships/hyperlink" Target="https://www.undp.org/sites/g/files/zskgke326/files/2024-11/the_concept_of_the_development_of_climate_finance_in_the_kyrgyz_republic.pdf" TargetMode="External"/><Relationship Id="rId19" Type="http://schemas.openxmlformats.org/officeDocument/2006/relationships/hyperlink" Target="https://www.elibrary.imf.org/view/journals/002/2023/092/article-A003-en.xml" TargetMode="External"/><Relationship Id="rId14" Type="http://schemas.openxmlformats.org/officeDocument/2006/relationships/hyperlink" Target="https://stat.gov.kg/ru/statistics/naselenie/" TargetMode="External"/><Relationship Id="rId30" Type="http://schemas.openxmlformats.org/officeDocument/2006/relationships/hyperlink" Target="https://climateknowledgeportal.worldbank.org/country/kyrgyz-republic/vulnerability" TargetMode="External"/><Relationship Id="rId35" Type="http://schemas.openxmlformats.org/officeDocument/2006/relationships/hyperlink" Target="https://centralasiaclimateportal.org/climate-change-summer-in-kyrgyzstan-is-getting-hotter-and-hotter/" TargetMode="External"/><Relationship Id="rId56" Type="http://schemas.openxmlformats.org/officeDocument/2006/relationships/hyperlink" Target="https://mineconom.gov.kg/ru/direct/302/335" TargetMode="External"/><Relationship Id="rId77" Type="http://schemas.openxmlformats.org/officeDocument/2006/relationships/hyperlink" Target="https://www.undp.org/kyrgyzstan/stories/equal-participation-women-green-decisions-key-successful-development-countrys-economy" TargetMode="External"/><Relationship Id="rId100" Type="http://schemas.openxmlformats.org/officeDocument/2006/relationships/hyperlink" Target="https://kg.usembassy.gov/usaid-kyrgyz-republic-announced-launch-of-24-million-green-solutions-activity/" TargetMode="External"/><Relationship Id="rId8" Type="http://schemas.openxmlformats.org/officeDocument/2006/relationships/hyperlink" Target="https://stat.gov.kg/ru/statistics/zanyatost/" TargetMode="External"/><Relationship Id="rId51" Type="http://schemas.openxmlformats.org/officeDocument/2006/relationships/hyperlink" Target="https://unfccc.int/sites/default/files/NDC/2022-06/%D0%9E%D0%9D%D0%A3%D0%92%20ENG%20%D0%BE%D1%82%2008102021.pdf" TargetMode="External"/><Relationship Id="rId72" Type="http://schemas.openxmlformats.org/officeDocument/2006/relationships/hyperlink" Target="https://www.undp.org/sites/g/files/zskgke326/files/2023-11/undp_kgz_ge_strategy_2023-27.pdf" TargetMode="External"/><Relationship Id="rId93" Type="http://schemas.openxmlformats.org/officeDocument/2006/relationships/hyperlink" Target="https://www.greenclimate.fund/document/e-mobility-program" TargetMode="External"/><Relationship Id="rId98" Type="http://schemas.openxmlformats.org/officeDocument/2006/relationships/hyperlink" Target="https://www.undp.org/kyrgyzstan/projects/partnership-actions-green-economy" TargetMode="External"/><Relationship Id="rId3" Type="http://schemas.openxmlformats.org/officeDocument/2006/relationships/hyperlink" Target="https://hdr.undp.org/content/human-development-report-2023-2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villoria\Desktop\ReadinessProposal_Template_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2A210645AC4932B79B1E6BBF6EA853"/>
        <w:category>
          <w:name w:val="General"/>
          <w:gallery w:val="placeholder"/>
        </w:category>
        <w:types>
          <w:type w:val="bbPlcHdr"/>
        </w:types>
        <w:behaviors>
          <w:behavior w:val="content"/>
        </w:behaviors>
        <w:guid w:val="{5C09ECCC-91EA-47FE-8583-030E482A4DA2}"/>
      </w:docPartPr>
      <w:docPartBody>
        <w:p w:rsidR="00626AA4" w:rsidRDefault="00626AA4" w:rsidP="00626AA4">
          <w:pPr>
            <w:pStyle w:val="0B2A210645AC4932B79B1E6BBF6EA853"/>
          </w:pPr>
          <w:r w:rsidRPr="007A7C56">
            <w:rPr>
              <w:rStyle w:val="PlaceholderText"/>
            </w:rPr>
            <w:t>Choose an item.</w:t>
          </w:r>
        </w:p>
      </w:docPartBody>
    </w:docPart>
    <w:docPart>
      <w:docPartPr>
        <w:name w:val="5CF5747FF21D48F7969B0FB21D5F2603"/>
        <w:category>
          <w:name w:val="General"/>
          <w:gallery w:val="placeholder"/>
        </w:category>
        <w:types>
          <w:type w:val="bbPlcHdr"/>
        </w:types>
        <w:behaviors>
          <w:behavior w:val="content"/>
        </w:behaviors>
        <w:guid w:val="{77BC65A7-F92B-4051-8CC3-02AE7A93C2E8}"/>
      </w:docPartPr>
      <w:docPartBody>
        <w:p w:rsidR="00626AA4" w:rsidRDefault="00626AA4" w:rsidP="00626AA4">
          <w:pPr>
            <w:pStyle w:val="5CF5747FF21D48F7969B0FB21D5F2603"/>
          </w:pPr>
          <w:r w:rsidRPr="007A7C56">
            <w:rPr>
              <w:rStyle w:val="PlaceholderText"/>
            </w:rPr>
            <w:t>Choose an item.</w:t>
          </w:r>
        </w:p>
      </w:docPartBody>
    </w:docPart>
    <w:docPart>
      <w:docPartPr>
        <w:name w:val="B6753BEB56034D24BF81C640169A7AB3"/>
        <w:category>
          <w:name w:val="General"/>
          <w:gallery w:val="placeholder"/>
        </w:category>
        <w:types>
          <w:type w:val="bbPlcHdr"/>
        </w:types>
        <w:behaviors>
          <w:behavior w:val="content"/>
        </w:behaviors>
        <w:guid w:val="{BB151866-8405-4E73-AB78-92BDD6A0528E}"/>
      </w:docPartPr>
      <w:docPartBody>
        <w:p w:rsidR="00626AA4" w:rsidRDefault="00C938D3" w:rsidP="00C938D3">
          <w:pPr>
            <w:pStyle w:val="B6753BEB56034D24BF81C640169A7AB3"/>
          </w:pPr>
          <w:r>
            <w:rPr>
              <w:rStyle w:val="PlaceholderText"/>
            </w:rPr>
            <w:t>Choose version #</w:t>
          </w:r>
        </w:p>
      </w:docPartBody>
    </w:docPart>
    <w:docPart>
      <w:docPartPr>
        <w:name w:val="CE156D213DF34CCEA9922784CA33EF9F"/>
        <w:category>
          <w:name w:val="General"/>
          <w:gallery w:val="placeholder"/>
        </w:category>
        <w:types>
          <w:type w:val="bbPlcHdr"/>
        </w:types>
        <w:behaviors>
          <w:behavior w:val="content"/>
        </w:behaviors>
        <w:guid w:val="{570833CF-0EB0-4476-86F3-C45D336B229C}"/>
      </w:docPartPr>
      <w:docPartBody>
        <w:p w:rsidR="00833C4D" w:rsidRDefault="00C938D3" w:rsidP="00C938D3">
          <w:pPr>
            <w:pStyle w:val="CE156D213DF34CCEA9922784CA33EF9F"/>
          </w:pPr>
          <w:r w:rsidRPr="00100C3C">
            <w:rPr>
              <w:rStyle w:val="PlaceholderText"/>
            </w:rPr>
            <w:t>Choose an item.</w:t>
          </w:r>
        </w:p>
      </w:docPartBody>
    </w:docPart>
    <w:docPart>
      <w:docPartPr>
        <w:name w:val="9D93C02E9E774F0F847F170C8B88AAD1"/>
        <w:category>
          <w:name w:val="General"/>
          <w:gallery w:val="placeholder"/>
        </w:category>
        <w:types>
          <w:type w:val="bbPlcHdr"/>
        </w:types>
        <w:behaviors>
          <w:behavior w:val="content"/>
        </w:behaviors>
        <w:guid w:val="{C977FC96-DC40-454C-9056-39C4861E8017}"/>
      </w:docPartPr>
      <w:docPartBody>
        <w:p w:rsidR="00C94A33" w:rsidRDefault="00FC3656" w:rsidP="00FC3656">
          <w:pPr>
            <w:pStyle w:val="9D93C02E9E774F0F847F170C8B88AAD1"/>
          </w:pPr>
          <w:r w:rsidRPr="00325AFB">
            <w:rPr>
              <w:rStyle w:val="PlaceholderText"/>
            </w:rPr>
            <w:t>Click or tap to enter a date.</w:t>
          </w:r>
        </w:p>
      </w:docPartBody>
    </w:docPart>
    <w:docPart>
      <w:docPartPr>
        <w:name w:val="CE8C3B065A85477D94131E92A9811281"/>
        <w:category>
          <w:name w:val="General"/>
          <w:gallery w:val="placeholder"/>
        </w:category>
        <w:types>
          <w:type w:val="bbPlcHdr"/>
        </w:types>
        <w:behaviors>
          <w:behavior w:val="content"/>
        </w:behaviors>
        <w:guid w:val="{6494FC4F-7B6D-4920-8FB7-B375C537BA3B}"/>
      </w:docPartPr>
      <w:docPartBody>
        <w:p w:rsidR="00C94A33" w:rsidRDefault="00FC3656" w:rsidP="00FC3656">
          <w:pPr>
            <w:pStyle w:val="CE8C3B065A85477D94131E92A9811281"/>
          </w:pPr>
          <w:r w:rsidRPr="00325AFB">
            <w:rPr>
              <w:rStyle w:val="PlaceholderText"/>
            </w:rPr>
            <w:t>Click or tap to enter a date.</w:t>
          </w:r>
        </w:p>
      </w:docPartBody>
    </w:docPart>
    <w:docPart>
      <w:docPartPr>
        <w:name w:val="8547379AF11E4EC2A5C9E2279D545149"/>
        <w:category>
          <w:name w:val="General"/>
          <w:gallery w:val="placeholder"/>
        </w:category>
        <w:types>
          <w:type w:val="bbPlcHdr"/>
        </w:types>
        <w:behaviors>
          <w:behavior w:val="content"/>
        </w:behaviors>
        <w:guid w:val="{B5288C58-687D-4BDC-9786-FAACFAC5AF3C}"/>
      </w:docPartPr>
      <w:docPartBody>
        <w:p w:rsidR="00C94A33" w:rsidRDefault="00FC3656" w:rsidP="00FC3656">
          <w:pPr>
            <w:pStyle w:val="8547379AF11E4EC2A5C9E2279D545149"/>
          </w:pPr>
          <w:r w:rsidRPr="00325AFB">
            <w:rPr>
              <w:rStyle w:val="PlaceholderText"/>
            </w:rPr>
            <w:t>Click or tap to enter a date.</w:t>
          </w:r>
        </w:p>
      </w:docPartBody>
    </w:docPart>
    <w:docPart>
      <w:docPartPr>
        <w:name w:val="50E41C11A6E74CD3BBC9EDF76F48C849"/>
        <w:category>
          <w:name w:val="General"/>
          <w:gallery w:val="placeholder"/>
        </w:category>
        <w:types>
          <w:type w:val="bbPlcHdr"/>
        </w:types>
        <w:behaviors>
          <w:behavior w:val="content"/>
        </w:behaviors>
        <w:guid w:val="{33D303F1-5AC9-4146-B486-C2A54C5F9940}"/>
      </w:docPartPr>
      <w:docPartBody>
        <w:p w:rsidR="00C94A33" w:rsidRDefault="00FC3656" w:rsidP="00FC3656">
          <w:pPr>
            <w:pStyle w:val="50E41C11A6E74CD3BBC9EDF76F48C849"/>
          </w:pPr>
          <w:r w:rsidRPr="00325AF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unPenh">
    <w:altName w:val="Leelawadee UI"/>
    <w:charset w:val="00"/>
    <w:family w:val="auto"/>
    <w:pitch w:val="variable"/>
    <w:sig w:usb0="80000003" w:usb1="00000000" w:usb2="0001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AppleSystemUIFont">
    <w:altName w:val="Cambria"/>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E2"/>
    <w:rsid w:val="000009A4"/>
    <w:rsid w:val="0002227D"/>
    <w:rsid w:val="00080C51"/>
    <w:rsid w:val="00096C07"/>
    <w:rsid w:val="000A1FF5"/>
    <w:rsid w:val="000A5D8B"/>
    <w:rsid w:val="000B376F"/>
    <w:rsid w:val="001210E3"/>
    <w:rsid w:val="00193547"/>
    <w:rsid w:val="001D0499"/>
    <w:rsid w:val="001E4410"/>
    <w:rsid w:val="001F73B4"/>
    <w:rsid w:val="001F7A72"/>
    <w:rsid w:val="0020021E"/>
    <w:rsid w:val="00235FBB"/>
    <w:rsid w:val="002449F4"/>
    <w:rsid w:val="00250272"/>
    <w:rsid w:val="0027612D"/>
    <w:rsid w:val="002961E8"/>
    <w:rsid w:val="002A2D4D"/>
    <w:rsid w:val="002B4F68"/>
    <w:rsid w:val="002D1A23"/>
    <w:rsid w:val="00340F60"/>
    <w:rsid w:val="003708FA"/>
    <w:rsid w:val="00370C0E"/>
    <w:rsid w:val="00380C19"/>
    <w:rsid w:val="003B0627"/>
    <w:rsid w:val="003F3664"/>
    <w:rsid w:val="003F4249"/>
    <w:rsid w:val="003F5E17"/>
    <w:rsid w:val="003F694B"/>
    <w:rsid w:val="00422E95"/>
    <w:rsid w:val="00466E71"/>
    <w:rsid w:val="004974E4"/>
    <w:rsid w:val="004A4647"/>
    <w:rsid w:val="004A66AE"/>
    <w:rsid w:val="004D3800"/>
    <w:rsid w:val="004D602B"/>
    <w:rsid w:val="0052467E"/>
    <w:rsid w:val="00546DF6"/>
    <w:rsid w:val="00552873"/>
    <w:rsid w:val="00554AC1"/>
    <w:rsid w:val="0057504B"/>
    <w:rsid w:val="00594BE4"/>
    <w:rsid w:val="005A7AFE"/>
    <w:rsid w:val="0061211E"/>
    <w:rsid w:val="00626AA4"/>
    <w:rsid w:val="00640727"/>
    <w:rsid w:val="006639C8"/>
    <w:rsid w:val="00685A62"/>
    <w:rsid w:val="006C2542"/>
    <w:rsid w:val="006C690E"/>
    <w:rsid w:val="006D0479"/>
    <w:rsid w:val="0070059E"/>
    <w:rsid w:val="00711F3D"/>
    <w:rsid w:val="007201B0"/>
    <w:rsid w:val="00741EEB"/>
    <w:rsid w:val="0075270E"/>
    <w:rsid w:val="00763D07"/>
    <w:rsid w:val="007714FD"/>
    <w:rsid w:val="007C2D65"/>
    <w:rsid w:val="007C3620"/>
    <w:rsid w:val="007D0FDA"/>
    <w:rsid w:val="007D4733"/>
    <w:rsid w:val="007E5EED"/>
    <w:rsid w:val="007F21DB"/>
    <w:rsid w:val="00825919"/>
    <w:rsid w:val="00833C4D"/>
    <w:rsid w:val="00896624"/>
    <w:rsid w:val="008C2BEF"/>
    <w:rsid w:val="008E14E2"/>
    <w:rsid w:val="008F1950"/>
    <w:rsid w:val="0091182E"/>
    <w:rsid w:val="00967E2E"/>
    <w:rsid w:val="009B3F2C"/>
    <w:rsid w:val="009D54F5"/>
    <w:rsid w:val="009E26DD"/>
    <w:rsid w:val="009E67C3"/>
    <w:rsid w:val="00AD56E1"/>
    <w:rsid w:val="00AE2B4E"/>
    <w:rsid w:val="00AE3786"/>
    <w:rsid w:val="00AF03ED"/>
    <w:rsid w:val="00B1180E"/>
    <w:rsid w:val="00B45373"/>
    <w:rsid w:val="00B8113B"/>
    <w:rsid w:val="00B811B0"/>
    <w:rsid w:val="00BA6941"/>
    <w:rsid w:val="00BD0C79"/>
    <w:rsid w:val="00BE727D"/>
    <w:rsid w:val="00C1148B"/>
    <w:rsid w:val="00C1374A"/>
    <w:rsid w:val="00C16FDF"/>
    <w:rsid w:val="00C2014C"/>
    <w:rsid w:val="00C2097B"/>
    <w:rsid w:val="00C400B5"/>
    <w:rsid w:val="00C56A8C"/>
    <w:rsid w:val="00C610B1"/>
    <w:rsid w:val="00C857A6"/>
    <w:rsid w:val="00C938D3"/>
    <w:rsid w:val="00C94A33"/>
    <w:rsid w:val="00C9551E"/>
    <w:rsid w:val="00CA42B9"/>
    <w:rsid w:val="00D51C14"/>
    <w:rsid w:val="00D5535A"/>
    <w:rsid w:val="00D62D9F"/>
    <w:rsid w:val="00D84E97"/>
    <w:rsid w:val="00D8615D"/>
    <w:rsid w:val="00D96A0B"/>
    <w:rsid w:val="00DB3B82"/>
    <w:rsid w:val="00DB542B"/>
    <w:rsid w:val="00DC112A"/>
    <w:rsid w:val="00DC5601"/>
    <w:rsid w:val="00DD5A9F"/>
    <w:rsid w:val="00DF6654"/>
    <w:rsid w:val="00DF75D6"/>
    <w:rsid w:val="00E14AC5"/>
    <w:rsid w:val="00E162B9"/>
    <w:rsid w:val="00E21EDE"/>
    <w:rsid w:val="00E31DCB"/>
    <w:rsid w:val="00E748F0"/>
    <w:rsid w:val="00E779DC"/>
    <w:rsid w:val="00E840E8"/>
    <w:rsid w:val="00E968D3"/>
    <w:rsid w:val="00EA24EF"/>
    <w:rsid w:val="00EA4BB9"/>
    <w:rsid w:val="00EB717E"/>
    <w:rsid w:val="00F072C3"/>
    <w:rsid w:val="00F115DD"/>
    <w:rsid w:val="00F407DE"/>
    <w:rsid w:val="00F45D42"/>
    <w:rsid w:val="00F4695C"/>
    <w:rsid w:val="00F75605"/>
    <w:rsid w:val="00FB210D"/>
    <w:rsid w:val="00FC3656"/>
    <w:rsid w:val="00FD08BE"/>
    <w:rsid w:val="00FF74C2"/>
    <w:rsid w:val="00FF7573"/>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decimalSymbol w:val="."/>
  <w:listSeparator w:val=","/>
  <w14:docId w14:val="1226FC5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3656"/>
    <w:rPr>
      <w:color w:val="808080"/>
    </w:rPr>
  </w:style>
  <w:style w:type="paragraph" w:customStyle="1" w:styleId="0B2A210645AC4932B79B1E6BBF6EA853">
    <w:name w:val="0B2A210645AC4932B79B1E6BBF6EA853"/>
    <w:rsid w:val="00626AA4"/>
  </w:style>
  <w:style w:type="paragraph" w:customStyle="1" w:styleId="5CF5747FF21D48F7969B0FB21D5F2603">
    <w:name w:val="5CF5747FF21D48F7969B0FB21D5F2603"/>
    <w:rsid w:val="00626AA4"/>
  </w:style>
  <w:style w:type="paragraph" w:customStyle="1" w:styleId="CE156D213DF34CCEA9922784CA33EF9F">
    <w:name w:val="CE156D213DF34CCEA9922784CA33EF9F"/>
    <w:rsid w:val="00C938D3"/>
    <w:rPr>
      <w:rFonts w:eastAsiaTheme="minorHAnsi"/>
    </w:rPr>
  </w:style>
  <w:style w:type="paragraph" w:customStyle="1" w:styleId="B6753BEB56034D24BF81C640169A7AB3">
    <w:name w:val="B6753BEB56034D24BF81C640169A7AB3"/>
    <w:rsid w:val="00C938D3"/>
    <w:rPr>
      <w:rFonts w:eastAsiaTheme="minorHAnsi"/>
    </w:rPr>
  </w:style>
  <w:style w:type="table" w:styleId="GridTable4-Accent1">
    <w:name w:val="Grid Table 4 Accent 1"/>
    <w:basedOn w:val="TableNormal"/>
    <w:uiPriority w:val="49"/>
    <w:rsid w:val="00C938D3"/>
    <w:pPr>
      <w:spacing w:after="0" w:line="240" w:lineRule="auto"/>
    </w:pPr>
    <w:rPr>
      <w:rFonts w:eastAsiaTheme="minorHAnsi"/>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9D93C02E9E774F0F847F170C8B88AAD1">
    <w:name w:val="9D93C02E9E774F0F847F170C8B88AAD1"/>
    <w:rsid w:val="00FC3656"/>
    <w:pPr>
      <w:spacing w:line="278" w:lineRule="auto"/>
    </w:pPr>
    <w:rPr>
      <w:kern w:val="2"/>
      <w:sz w:val="24"/>
      <w:szCs w:val="24"/>
      <w:lang w:val="en-GB" w:eastAsia="en-GB"/>
      <w14:ligatures w14:val="standardContextual"/>
    </w:rPr>
  </w:style>
  <w:style w:type="paragraph" w:customStyle="1" w:styleId="CE8C3B065A85477D94131E92A9811281">
    <w:name w:val="CE8C3B065A85477D94131E92A9811281"/>
    <w:rsid w:val="00FC3656"/>
    <w:pPr>
      <w:spacing w:line="278" w:lineRule="auto"/>
    </w:pPr>
    <w:rPr>
      <w:kern w:val="2"/>
      <w:sz w:val="24"/>
      <w:szCs w:val="24"/>
      <w:lang w:val="en-GB" w:eastAsia="en-GB"/>
      <w14:ligatures w14:val="standardContextual"/>
    </w:rPr>
  </w:style>
  <w:style w:type="paragraph" w:customStyle="1" w:styleId="8547379AF11E4EC2A5C9E2279D545149">
    <w:name w:val="8547379AF11E4EC2A5C9E2279D545149"/>
    <w:rsid w:val="00FC3656"/>
    <w:pPr>
      <w:spacing w:line="278" w:lineRule="auto"/>
    </w:pPr>
    <w:rPr>
      <w:kern w:val="2"/>
      <w:sz w:val="24"/>
      <w:szCs w:val="24"/>
      <w:lang w:val="en-GB" w:eastAsia="en-GB"/>
      <w14:ligatures w14:val="standardContextual"/>
    </w:rPr>
  </w:style>
  <w:style w:type="paragraph" w:customStyle="1" w:styleId="50E41C11A6E74CD3BBC9EDF76F48C849">
    <w:name w:val="50E41C11A6E74CD3BBC9EDF76F48C849"/>
    <w:rsid w:val="00FC3656"/>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CF_manuals_basic">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2020-11-01T00:00:00</PublishDate>
  <Abstract>This document aims to provide illustrative set of audited project financial statements prepared in accordance with International Public Sector Accounting Standards Financial Reporting Under the Cash Basis of Accounting. This serves as a guide to delivery partners, national designated authorities, consultants, and external auditors in preparing audit report for all readiness programmes and project preparation facilities financed by the Green Climate Fund. </Abstract>
  <CompanyAddress/>
  <CompanyPhone/>
  <CompanyFax/>
  <CompanyEmail>finance@gcfund.org</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B0556 - Kyrgyzstan - Bishkek</OfficeCountry>
    <DocumentStatus xmlns="d9cf0e28-81d2-4dc7-8b10-820d80ed680d">Reviewed</DocumentStatus>
    <DocCoverageEndDate xmlns="d9cf0e28-81d2-4dc7-8b10-820d80ed680d">2027-06-27T04:00:00+00:00</DocCoverageEndDate>
    <FunctionalArea xmlns="d9cf0e28-81d2-4dc7-8b10-820d80ed680d" xsi:nil="true"/>
    <FileNameDescription xmlns="d9cf0e28-81d2-4dc7-8b10-820d80ed680d">Prodoc_01004366</FileNameDescription>
    <ProjectNumber xmlns="d9cf0e28-81d2-4dc7-8b10-820d80ed680d">01004366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UNDP-KGZ</OperatingUnit>
    <FocusArea xmlns="d9cf0e28-81d2-4dc7-8b10-820d80ed680d" xsi:nil="true"/>
    <DocCoverageStartDate xmlns="d9cf0e28-81d2-4dc7-8b10-820d80ed680d">2025-03-27T04:00:00+00:00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AFC809-3CB6-40C6-A972-C5C146167F1F}">
  <ds:schemaRefs>
    <ds:schemaRef ds:uri="http://schemas.microsoft.com/office/2006/metadata/properties"/>
    <ds:schemaRef ds:uri="http://schemas.microsoft.com/office/infopath/2007/PartnerControls"/>
    <ds:schemaRef ds:uri="50c9b839-8b53-4ddb-9b24-b96221f2bda6"/>
    <ds:schemaRef ds:uri="6b18e5df-9579-413c-a248-5fcec9bafbe4"/>
    <ds:schemaRef ds:uri="9b8668ec-716e-4525-933f-8ff6f9b03cff"/>
  </ds:schemaRefs>
</ds:datastoreItem>
</file>

<file path=customXml/itemProps3.xml><?xml version="1.0" encoding="utf-8"?>
<ds:datastoreItem xmlns:ds="http://schemas.openxmlformats.org/officeDocument/2006/customXml" ds:itemID="{717FA71D-E0F9-47CA-B9D3-5CC70AE77EC3}">
  <ds:schemaRefs>
    <ds:schemaRef ds:uri="http://schemas.openxmlformats.org/officeDocument/2006/bibliography"/>
  </ds:schemaRefs>
</ds:datastoreItem>
</file>

<file path=customXml/itemProps4.xml><?xml version="1.0" encoding="utf-8"?>
<ds:datastoreItem xmlns:ds="http://schemas.openxmlformats.org/officeDocument/2006/customXml" ds:itemID="{5555FEE1-A976-46BB-AB5F-BF518D8872A6}"/>
</file>

<file path=customXml/itemProps5.xml><?xml version="1.0" encoding="utf-8"?>
<ds:datastoreItem xmlns:ds="http://schemas.openxmlformats.org/officeDocument/2006/customXml" ds:itemID="{781920D1-5F02-4CEF-BA5F-9304797FB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ReadinessProposal_Template_2023</Template>
  <TotalTime>5</TotalTime>
  <Pages>65</Pages>
  <Words>30373</Words>
  <Characters>173127</Characters>
  <Application>Microsoft Office Word</Application>
  <DocSecurity>0</DocSecurity>
  <Lines>1442</Lines>
  <Paragraphs>406</Paragraphs>
  <ScaleCrop>false</ScaleCrop>
  <HeadingPairs>
    <vt:vector size="2" baseType="variant">
      <vt:variant>
        <vt:lpstr>Название</vt:lpstr>
      </vt:variant>
      <vt:variant>
        <vt:i4>1</vt:i4>
      </vt:variant>
    </vt:vector>
  </HeadingPairs>
  <TitlesOfParts>
    <vt:vector size="1" baseType="lpstr">
      <vt:lpstr>Readiness and Preparatory Support</vt:lpstr>
    </vt:vector>
  </TitlesOfParts>
  <Company>GREEN CLIMATE FUND</Company>
  <LinksUpToDate>false</LinksUpToDate>
  <CharactersWithSpaces>203094</CharactersWithSpaces>
  <SharedDoc>false</SharedDoc>
  <HLinks>
    <vt:vector size="744" baseType="variant">
      <vt:variant>
        <vt:i4>2883634</vt:i4>
      </vt:variant>
      <vt:variant>
        <vt:i4>51</vt:i4>
      </vt:variant>
      <vt:variant>
        <vt:i4>0</vt:i4>
      </vt:variant>
      <vt:variant>
        <vt:i4>5</vt:i4>
      </vt:variant>
      <vt:variant>
        <vt:lpwstr>https://www.undp.org/kyrgyzstan</vt:lpwstr>
      </vt:variant>
      <vt:variant>
        <vt:lpwstr/>
      </vt:variant>
      <vt:variant>
        <vt:i4>7798835</vt:i4>
      </vt:variant>
      <vt:variant>
        <vt:i4>48</vt:i4>
      </vt:variant>
      <vt:variant>
        <vt:i4>0</vt:i4>
      </vt:variant>
      <vt:variant>
        <vt:i4>5</vt:i4>
      </vt:variant>
      <vt:variant>
        <vt:lpwstr>https://info.undp.org/sites/bpps/SES_Toolkit/SES Document Library/Uploaded October 2016/UNDP SES Supplemental Guidance_Grievance Redress Mechanisms.pdf</vt:lpwstr>
      </vt:variant>
      <vt:variant>
        <vt:lpwstr/>
      </vt:variant>
      <vt:variant>
        <vt:i4>3538994</vt:i4>
      </vt:variant>
      <vt:variant>
        <vt:i4>45</vt:i4>
      </vt:variant>
      <vt:variant>
        <vt:i4>0</vt:i4>
      </vt:variant>
      <vt:variant>
        <vt:i4>5</vt:i4>
      </vt:variant>
      <vt:variant>
        <vt:lpwstr>https://secu.info.undp.org/</vt:lpwstr>
      </vt:variant>
      <vt:variant>
        <vt:lpwstr/>
      </vt:variant>
      <vt:variant>
        <vt:i4>3014761</vt:i4>
      </vt:variant>
      <vt:variant>
        <vt:i4>42</vt:i4>
      </vt:variant>
      <vt:variant>
        <vt:i4>0</vt:i4>
      </vt:variant>
      <vt:variant>
        <vt:i4>5</vt:i4>
      </vt:variant>
      <vt:variant>
        <vt:lpwstr>https://srm.info.undp.org/</vt:lpwstr>
      </vt:variant>
      <vt:variant>
        <vt:lpwstr/>
      </vt:variant>
      <vt:variant>
        <vt:i4>3866664</vt:i4>
      </vt:variant>
      <vt:variant>
        <vt:i4>39</vt:i4>
      </vt:variant>
      <vt:variant>
        <vt:i4>0</vt:i4>
      </vt:variant>
      <vt:variant>
        <vt:i4>5</vt:i4>
      </vt:variant>
      <vt:variant>
        <vt:lpwstr>https://www.undp.org/accountability/audit/social-and-environmental-compliance-review-and-stakeholder-response-mechanism</vt:lpwstr>
      </vt:variant>
      <vt:variant>
        <vt:lpwstr/>
      </vt:variant>
      <vt:variant>
        <vt:i4>3866664</vt:i4>
      </vt:variant>
      <vt:variant>
        <vt:i4>35</vt:i4>
      </vt:variant>
      <vt:variant>
        <vt:i4>0</vt:i4>
      </vt:variant>
      <vt:variant>
        <vt:i4>5</vt:i4>
      </vt:variant>
      <vt:variant>
        <vt:lpwstr>https://www.undp.org/accountability/audit/social-and-environmental-compliance-review-and-stakeholder-response-mechanism</vt:lpwstr>
      </vt:variant>
      <vt:variant>
        <vt:lpwstr/>
      </vt:variant>
      <vt:variant>
        <vt:i4>3866664</vt:i4>
      </vt:variant>
      <vt:variant>
        <vt:i4>33</vt:i4>
      </vt:variant>
      <vt:variant>
        <vt:i4>0</vt:i4>
      </vt:variant>
      <vt:variant>
        <vt:i4>5</vt:i4>
      </vt:variant>
      <vt:variant>
        <vt:lpwstr>https://www.undp.org/accountability/audit/social-and-environmental-compliance-review-and-stakeholder-response-mechanism</vt:lpwstr>
      </vt:variant>
      <vt:variant>
        <vt:lpwstr/>
      </vt:variant>
      <vt:variant>
        <vt:i4>327709</vt:i4>
      </vt:variant>
      <vt:variant>
        <vt:i4>30</vt:i4>
      </vt:variant>
      <vt:variant>
        <vt:i4>0</vt:i4>
      </vt:variant>
      <vt:variant>
        <vt:i4>5</vt:i4>
      </vt:variant>
      <vt:variant>
        <vt:lpwstr>https://popp.undp.org/_layouts/15/WopiFrame.aspx?sourcedoc=/UNDP_POPP_DOCUMENT_LIBRARY/Public/Ethi</vt:lpwstr>
      </vt:variant>
      <vt:variant>
        <vt:lpwstr/>
      </vt:variant>
      <vt:variant>
        <vt:i4>131145</vt:i4>
      </vt:variant>
      <vt:variant>
        <vt:i4>27</vt:i4>
      </vt:variant>
      <vt:variant>
        <vt:i4>0</vt:i4>
      </vt:variant>
      <vt:variant>
        <vt:i4>5</vt:i4>
      </vt:variant>
      <vt:variant>
        <vt:lpwstr>https://www.un.org/securitycouncil/content/un-scconsolidated-</vt:lpwstr>
      </vt:variant>
      <vt:variant>
        <vt:lpwstr/>
      </vt:variant>
      <vt:variant>
        <vt:i4>6750315</vt:i4>
      </vt:variant>
      <vt:variant>
        <vt:i4>24</vt:i4>
      </vt:variant>
      <vt:variant>
        <vt:i4>0</vt:i4>
      </vt:variant>
      <vt:variant>
        <vt:i4>5</vt:i4>
      </vt:variant>
      <vt:variant>
        <vt:lpwstr>https://popp.undp.org/SitePages/POPPSubject.aspx?SBJID=12&amp;Menu=BusinessUnit</vt:lpwstr>
      </vt:variant>
      <vt:variant>
        <vt:lpwstr/>
      </vt:variant>
      <vt:variant>
        <vt:i4>3735665</vt:i4>
      </vt:variant>
      <vt:variant>
        <vt:i4>21</vt:i4>
      </vt:variant>
      <vt:variant>
        <vt:i4>0</vt:i4>
      </vt:variant>
      <vt:variant>
        <vt:i4>5</vt:i4>
      </vt:variant>
      <vt:variant>
        <vt:lpwstr>https://popp.undp.org/programme-and-project-management</vt:lpwstr>
      </vt:variant>
      <vt:variant>
        <vt:lpwstr/>
      </vt:variant>
      <vt:variant>
        <vt:i4>6488090</vt:i4>
      </vt:variant>
      <vt:variant>
        <vt:i4>18</vt:i4>
      </vt:variant>
      <vt:variant>
        <vt:i4>0</vt:i4>
      </vt:variant>
      <vt:variant>
        <vt:i4>5</vt:i4>
      </vt:variant>
      <vt:variant>
        <vt:lpwstr>mailto:azamat.usubaliev@undp.org</vt:lpwstr>
      </vt:variant>
      <vt:variant>
        <vt:lpwstr/>
      </vt:variant>
      <vt:variant>
        <vt:i4>7471124</vt:i4>
      </vt:variant>
      <vt:variant>
        <vt:i4>15</vt:i4>
      </vt:variant>
      <vt:variant>
        <vt:i4>0</vt:i4>
      </vt:variant>
      <vt:variant>
        <vt:i4>5</vt:i4>
      </vt:variant>
      <vt:variant>
        <vt:lpwstr>mailto:monica.rijal@undp.org</vt:lpwstr>
      </vt:variant>
      <vt:variant>
        <vt:lpwstr/>
      </vt:variant>
      <vt:variant>
        <vt:i4>2424927</vt:i4>
      </vt:variant>
      <vt:variant>
        <vt:i4>12</vt:i4>
      </vt:variant>
      <vt:variant>
        <vt:i4>0</vt:i4>
      </vt:variant>
      <vt:variant>
        <vt:i4>5</vt:i4>
      </vt:variant>
      <vt:variant>
        <vt:lpwstr>mailto:nathaniel.pappoe@undp.org</vt:lpwstr>
      </vt:variant>
      <vt:variant>
        <vt:lpwstr/>
      </vt:variant>
      <vt:variant>
        <vt:i4>4784190</vt:i4>
      </vt:variant>
      <vt:variant>
        <vt:i4>9</vt:i4>
      </vt:variant>
      <vt:variant>
        <vt:i4>0</vt:i4>
      </vt:variant>
      <vt:variant>
        <vt:i4>5</vt:i4>
      </vt:variant>
      <vt:variant>
        <vt:lpwstr>mailto:claudia.ortiz@undp.org</vt:lpwstr>
      </vt:variant>
      <vt:variant>
        <vt:lpwstr/>
      </vt:variant>
      <vt:variant>
        <vt:i4>7929872</vt:i4>
      </vt:variant>
      <vt:variant>
        <vt:i4>6</vt:i4>
      </vt:variant>
      <vt:variant>
        <vt:i4>0</vt:i4>
      </vt:variant>
      <vt:variant>
        <vt:i4>5</vt:i4>
      </vt:variant>
      <vt:variant>
        <vt:lpwstr>mailto:patricia.velasco@undp.org</vt:lpwstr>
      </vt:variant>
      <vt:variant>
        <vt:lpwstr/>
      </vt:variant>
      <vt:variant>
        <vt:i4>5570623</vt:i4>
      </vt:variant>
      <vt:variant>
        <vt:i4>3</vt:i4>
      </vt:variant>
      <vt:variant>
        <vt:i4>0</vt:i4>
      </vt:variant>
      <vt:variant>
        <vt:i4>5</vt:i4>
      </vt:variant>
      <vt:variant>
        <vt:lpwstr>mailto:robin.merlier@undp.org</vt:lpwstr>
      </vt:variant>
      <vt:variant>
        <vt:lpwstr/>
      </vt:variant>
      <vt:variant>
        <vt:i4>2359380</vt:i4>
      </vt:variant>
      <vt:variant>
        <vt:i4>0</vt:i4>
      </vt:variant>
      <vt:variant>
        <vt:i4>0</vt:i4>
      </vt:variant>
      <vt:variant>
        <vt:i4>5</vt:i4>
      </vt:variant>
      <vt:variant>
        <vt:lpwstr>mailto:nancy.bennet@undp.org</vt:lpwstr>
      </vt:variant>
      <vt:variant>
        <vt:lpwstr/>
      </vt:variant>
      <vt:variant>
        <vt:i4>2555949</vt:i4>
      </vt:variant>
      <vt:variant>
        <vt:i4>300</vt:i4>
      </vt:variant>
      <vt:variant>
        <vt:i4>0</vt:i4>
      </vt:variant>
      <vt:variant>
        <vt:i4>5</vt:i4>
      </vt:variant>
      <vt:variant>
        <vt:lpwstr>https://documents1.worldbank.org/curated/ar/788321558682372895/pdf/Climate-Investment-Programme-Operational-Framework-for-Managing-and-Accessing-Climate-Finance-in-the-Kyrgyz-Republic.pdf</vt:lpwstr>
      </vt:variant>
      <vt:variant>
        <vt:lpwstr/>
      </vt:variant>
      <vt:variant>
        <vt:i4>3735596</vt:i4>
      </vt:variant>
      <vt:variant>
        <vt:i4>297</vt:i4>
      </vt:variant>
      <vt:variant>
        <vt:i4>0</vt:i4>
      </vt:variant>
      <vt:variant>
        <vt:i4>5</vt:i4>
      </vt:variant>
      <vt:variant>
        <vt:lpwstr>https://kg.usembassy.gov/usaid-kyrgyz-republic-announced-launch-of-24-million-green-solutions-activity/</vt:lpwstr>
      </vt:variant>
      <vt:variant>
        <vt:lpwstr/>
      </vt:variant>
      <vt:variant>
        <vt:i4>5963847</vt:i4>
      </vt:variant>
      <vt:variant>
        <vt:i4>294</vt:i4>
      </vt:variant>
      <vt:variant>
        <vt:i4>0</vt:i4>
      </vt:variant>
      <vt:variant>
        <vt:i4>5</vt:i4>
      </vt:variant>
      <vt:variant>
        <vt:lpwstr>https://www.undp.org/kyrgyzstan/press-releases/undp-kyrgyzstan-supported-state-development-bank-launch-new-product-field-green-financing</vt:lpwstr>
      </vt:variant>
      <vt:variant>
        <vt:lpwstr/>
      </vt:variant>
      <vt:variant>
        <vt:i4>7602217</vt:i4>
      </vt:variant>
      <vt:variant>
        <vt:i4>291</vt:i4>
      </vt:variant>
      <vt:variant>
        <vt:i4>0</vt:i4>
      </vt:variant>
      <vt:variant>
        <vt:i4>5</vt:i4>
      </vt:variant>
      <vt:variant>
        <vt:lpwstr>https://www.undp.org/kyrgyzstan/projects/partnership-actions-green-economy</vt:lpwstr>
      </vt:variant>
      <vt:variant>
        <vt:lpwstr/>
      </vt:variant>
      <vt:variant>
        <vt:i4>2228265</vt:i4>
      </vt:variant>
      <vt:variant>
        <vt:i4>288</vt:i4>
      </vt:variant>
      <vt:variant>
        <vt:i4>0</vt:i4>
      </vt:variant>
      <vt:variant>
        <vt:i4>5</vt:i4>
      </vt:variant>
      <vt:variant>
        <vt:lpwstr>https://www.undp.org/kyrgyzstan/press-releases/page-accelerates-policy-reforms-promote-green-economy-kyrgyzstan</vt:lpwstr>
      </vt:variant>
      <vt:variant>
        <vt:lpwstr/>
      </vt:variant>
      <vt:variant>
        <vt:i4>8192096</vt:i4>
      </vt:variant>
      <vt:variant>
        <vt:i4>285</vt:i4>
      </vt:variant>
      <vt:variant>
        <vt:i4>0</vt:i4>
      </vt:variant>
      <vt:variant>
        <vt:i4>5</vt:i4>
      </vt:variant>
      <vt:variant>
        <vt:lpwstr>https://www.undp.org/kyrgyzstan/press-releases/strategic-financing-biodiversity-biofins-impact-kyrgyzstans-conservation-efforts</vt:lpwstr>
      </vt:variant>
      <vt:variant>
        <vt:lpwstr/>
      </vt:variant>
      <vt:variant>
        <vt:i4>5308496</vt:i4>
      </vt:variant>
      <vt:variant>
        <vt:i4>282</vt:i4>
      </vt:variant>
      <vt:variant>
        <vt:i4>0</vt:i4>
      </vt:variant>
      <vt:variant>
        <vt:i4>5</vt:i4>
      </vt:variant>
      <vt:variant>
        <vt:lpwstr>https://www.greenclimate.fund/sites/default/files/document/kgz004.pdf</vt:lpwstr>
      </vt:variant>
      <vt:variant>
        <vt:lpwstr/>
      </vt:variant>
      <vt:variant>
        <vt:i4>2162808</vt:i4>
      </vt:variant>
      <vt:variant>
        <vt:i4>279</vt:i4>
      </vt:variant>
      <vt:variant>
        <vt:i4>0</vt:i4>
      </vt:variant>
      <vt:variant>
        <vt:i4>5</vt:i4>
      </vt:variant>
      <vt:variant>
        <vt:lpwstr>https://www.greenclimate.fund/sites/default/files/document/kyrgyzstan-nap-undp.pdf</vt:lpwstr>
      </vt:variant>
      <vt:variant>
        <vt:lpwstr/>
      </vt:variant>
      <vt:variant>
        <vt:i4>5636123</vt:i4>
      </vt:variant>
      <vt:variant>
        <vt:i4>276</vt:i4>
      </vt:variant>
      <vt:variant>
        <vt:i4>0</vt:i4>
      </vt:variant>
      <vt:variant>
        <vt:i4>5</vt:i4>
      </vt:variant>
      <vt:variant>
        <vt:lpwstr>https://www.greenclimate.fund/document/e-mobility-program</vt:lpwstr>
      </vt:variant>
      <vt:variant>
        <vt:lpwstr/>
      </vt:variant>
      <vt:variant>
        <vt:i4>6291516</vt:i4>
      </vt:variant>
      <vt:variant>
        <vt:i4>273</vt:i4>
      </vt:variant>
      <vt:variant>
        <vt:i4>0</vt:i4>
      </vt:variant>
      <vt:variant>
        <vt:i4>5</vt:i4>
      </vt:variant>
      <vt:variant>
        <vt:lpwstr>https://www.greenclimate.fund/project/fp225</vt:lpwstr>
      </vt:variant>
      <vt:variant>
        <vt:lpwstr/>
      </vt:variant>
      <vt:variant>
        <vt:i4>3080297</vt:i4>
      </vt:variant>
      <vt:variant>
        <vt:i4>270</vt:i4>
      </vt:variant>
      <vt:variant>
        <vt:i4>0</vt:i4>
      </vt:variant>
      <vt:variant>
        <vt:i4>5</vt:i4>
      </vt:variant>
      <vt:variant>
        <vt:lpwstr>https://www.greenclimate.fund/sites/default/files/document/gcf-b40-02-add15-funding-proposal-pacakge-fp253.pdf</vt:lpwstr>
      </vt:variant>
      <vt:variant>
        <vt:lpwstr/>
      </vt:variant>
      <vt:variant>
        <vt:i4>6750268</vt:i4>
      </vt:variant>
      <vt:variant>
        <vt:i4>267</vt:i4>
      </vt:variant>
      <vt:variant>
        <vt:i4>0</vt:i4>
      </vt:variant>
      <vt:variant>
        <vt:i4>5</vt:i4>
      </vt:variant>
      <vt:variant>
        <vt:lpwstr>https://www.greenclimate.fund/project/fp253</vt:lpwstr>
      </vt:variant>
      <vt:variant>
        <vt:lpwstr/>
      </vt:variant>
      <vt:variant>
        <vt:i4>6291583</vt:i4>
      </vt:variant>
      <vt:variant>
        <vt:i4>264</vt:i4>
      </vt:variant>
      <vt:variant>
        <vt:i4>0</vt:i4>
      </vt:variant>
      <vt:variant>
        <vt:i4>5</vt:i4>
      </vt:variant>
      <vt:variant>
        <vt:lpwstr>https://www.greenclimate.fund/sites/default/files/document/fp204-world-bank-multiple-countries.pdf</vt:lpwstr>
      </vt:variant>
      <vt:variant>
        <vt:lpwstr/>
      </vt:variant>
      <vt:variant>
        <vt:i4>6422588</vt:i4>
      </vt:variant>
      <vt:variant>
        <vt:i4>261</vt:i4>
      </vt:variant>
      <vt:variant>
        <vt:i4>0</vt:i4>
      </vt:variant>
      <vt:variant>
        <vt:i4>5</vt:i4>
      </vt:variant>
      <vt:variant>
        <vt:lpwstr>https://www.greenclimate.fund/project/fp204</vt:lpwstr>
      </vt:variant>
      <vt:variant>
        <vt:lpwstr/>
      </vt:variant>
      <vt:variant>
        <vt:i4>6881386</vt:i4>
      </vt:variant>
      <vt:variant>
        <vt:i4>258</vt:i4>
      </vt:variant>
      <vt:variant>
        <vt:i4>0</vt:i4>
      </vt:variant>
      <vt:variant>
        <vt:i4>5</vt:i4>
      </vt:variant>
      <vt:variant>
        <vt:lpwstr>https://www.greenclimate.fund/sites/default/files/document/sap002-annual-performance-report-cy2023.pdf</vt:lpwstr>
      </vt:variant>
      <vt:variant>
        <vt:lpwstr/>
      </vt:variant>
      <vt:variant>
        <vt:i4>6029399</vt:i4>
      </vt:variant>
      <vt:variant>
        <vt:i4>255</vt:i4>
      </vt:variant>
      <vt:variant>
        <vt:i4>0</vt:i4>
      </vt:variant>
      <vt:variant>
        <vt:i4>5</vt:i4>
      </vt:variant>
      <vt:variant>
        <vt:lpwstr>https://www.greenclimate.fund/sites/default/files/document/funding-proposal-sap002-wfp-kyrgyzstan.pdf</vt:lpwstr>
      </vt:variant>
      <vt:variant>
        <vt:lpwstr/>
      </vt:variant>
      <vt:variant>
        <vt:i4>3932275</vt:i4>
      </vt:variant>
      <vt:variant>
        <vt:i4>252</vt:i4>
      </vt:variant>
      <vt:variant>
        <vt:i4>0</vt:i4>
      </vt:variant>
      <vt:variant>
        <vt:i4>5</vt:i4>
      </vt:variant>
      <vt:variant>
        <vt:lpwstr>https://www.greenclimate.fund/sites/default/files/document/fp116-annual-performance-report-cy2022-v.pdf</vt:lpwstr>
      </vt:variant>
      <vt:variant>
        <vt:lpwstr/>
      </vt:variant>
      <vt:variant>
        <vt:i4>4718684</vt:i4>
      </vt:variant>
      <vt:variant>
        <vt:i4>249</vt:i4>
      </vt:variant>
      <vt:variant>
        <vt:i4>0</vt:i4>
      </vt:variant>
      <vt:variant>
        <vt:i4>5</vt:i4>
      </vt:variant>
      <vt:variant>
        <vt:lpwstr>https://www.greenclimate.fund/sites/default/files/document/funding-proposal-fp116-fao-kyrgyzstan.pdf</vt:lpwstr>
      </vt:variant>
      <vt:variant>
        <vt:lpwstr/>
      </vt:variant>
      <vt:variant>
        <vt:i4>6815803</vt:i4>
      </vt:variant>
      <vt:variant>
        <vt:i4>246</vt:i4>
      </vt:variant>
      <vt:variant>
        <vt:i4>0</vt:i4>
      </vt:variant>
      <vt:variant>
        <vt:i4>5</vt:i4>
      </vt:variant>
      <vt:variant>
        <vt:lpwstr>https://www.greenclimate.fund/project/fp116</vt:lpwstr>
      </vt:variant>
      <vt:variant>
        <vt:lpwstr>documents</vt:lpwstr>
      </vt:variant>
      <vt:variant>
        <vt:i4>5898277</vt:i4>
      </vt:variant>
      <vt:variant>
        <vt:i4>243</vt:i4>
      </vt:variant>
      <vt:variant>
        <vt:i4>0</vt:i4>
      </vt:variant>
      <vt:variant>
        <vt:i4>5</vt:i4>
      </vt:variant>
      <vt:variant>
        <vt:lpwstr>https://www.undp.org/sites/g/files/zskgke326/files/2024-11/the_concept_of_the_development_of_climate_finance_in_the_kyrgyz_republic.pdf</vt:lpwstr>
      </vt:variant>
      <vt:variant>
        <vt:lpwstr/>
      </vt:variant>
      <vt:variant>
        <vt:i4>3342434</vt:i4>
      </vt:variant>
      <vt:variant>
        <vt:i4>240</vt:i4>
      </vt:variant>
      <vt:variant>
        <vt:i4>0</vt:i4>
      </vt:variant>
      <vt:variant>
        <vt:i4>5</vt:i4>
      </vt:variant>
      <vt:variant>
        <vt:lpwstr>https://www.undp.org/kyrgyzstan/press-releases/undp-contributes-green-finance-market-development-kyrgyzstan</vt:lpwstr>
      </vt:variant>
      <vt:variant>
        <vt:lpwstr/>
      </vt:variant>
      <vt:variant>
        <vt:i4>3080243</vt:i4>
      </vt:variant>
      <vt:variant>
        <vt:i4>237</vt:i4>
      </vt:variant>
      <vt:variant>
        <vt:i4>0</vt:i4>
      </vt:variant>
      <vt:variant>
        <vt:i4>5</vt:i4>
      </vt:variant>
      <vt:variant>
        <vt:lpwstr>https://www.undp.org/kyrgyzstan/publications/green-finance-market-assessment-kyrgyzstan</vt:lpwstr>
      </vt:variant>
      <vt:variant>
        <vt:lpwstr/>
      </vt:variant>
      <vt:variant>
        <vt:i4>1245259</vt:i4>
      </vt:variant>
      <vt:variant>
        <vt:i4>234</vt:i4>
      </vt:variant>
      <vt:variant>
        <vt:i4>0</vt:i4>
      </vt:variant>
      <vt:variant>
        <vt:i4>5</vt:i4>
      </vt:variant>
      <vt:variant>
        <vt:lpwstr>https://www.greenclimate.fund/sites/default/files/document/gcf-gender-policy.pdf</vt:lpwstr>
      </vt:variant>
      <vt:variant>
        <vt:lpwstr/>
      </vt:variant>
      <vt:variant>
        <vt:i4>720907</vt:i4>
      </vt:variant>
      <vt:variant>
        <vt:i4>231</vt:i4>
      </vt:variant>
      <vt:variant>
        <vt:i4>0</vt:i4>
      </vt:variant>
      <vt:variant>
        <vt:i4>5</vt:i4>
      </vt:variant>
      <vt:variant>
        <vt:lpwstr>https://www.undp.org/sites/g/files/zskgke326/files/2023-11/undp_kgz_ge_strategy_2023-27.pdf</vt:lpwstr>
      </vt:variant>
      <vt:variant>
        <vt:lpwstr/>
      </vt:variant>
      <vt:variant>
        <vt:i4>1507418</vt:i4>
      </vt:variant>
      <vt:variant>
        <vt:i4>228</vt:i4>
      </vt:variant>
      <vt:variant>
        <vt:i4>0</vt:i4>
      </vt:variant>
      <vt:variant>
        <vt:i4>5</vt:i4>
      </vt:variant>
      <vt:variant>
        <vt:lpwstr>https://www.undp.org/kyrgyzstan/stories/equal-participation-women-green-decisions-key-successful-development-countrys-economy</vt:lpwstr>
      </vt:variant>
      <vt:variant>
        <vt:lpwstr/>
      </vt:variant>
      <vt:variant>
        <vt:i4>4325391</vt:i4>
      </vt:variant>
      <vt:variant>
        <vt:i4>225</vt:i4>
      </vt:variant>
      <vt:variant>
        <vt:i4>0</vt:i4>
      </vt:variant>
      <vt:variant>
        <vt:i4>5</vt:i4>
      </vt:variant>
      <vt:variant>
        <vt:lpwstr>https://www.un.org/en/climatechange/science/climate-issues/women</vt:lpwstr>
      </vt:variant>
      <vt:variant>
        <vt:lpwstr>:~:text=Women%20are%20agents%20of%20change&amp;text=In%20wealthier%20societies%2C%20women%20drive,and%20energy%20in%20the%20household</vt:lpwstr>
      </vt:variant>
      <vt:variant>
        <vt:i4>917588</vt:i4>
      </vt:variant>
      <vt:variant>
        <vt:i4>222</vt:i4>
      </vt:variant>
      <vt:variant>
        <vt:i4>0</vt:i4>
      </vt:variant>
      <vt:variant>
        <vt:i4>5</vt:i4>
      </vt:variant>
      <vt:variant>
        <vt:lpwstr>https://cbd.minjust.gov.kg/159472/edition/1189691/ru</vt:lpwstr>
      </vt:variant>
      <vt:variant>
        <vt:lpwstr/>
      </vt:variant>
      <vt:variant>
        <vt:i4>2162808</vt:i4>
      </vt:variant>
      <vt:variant>
        <vt:i4>219</vt:i4>
      </vt:variant>
      <vt:variant>
        <vt:i4>0</vt:i4>
      </vt:variant>
      <vt:variant>
        <vt:i4>5</vt:i4>
      </vt:variant>
      <vt:variant>
        <vt:lpwstr>https://www.greenclimate.fund/sites/default/files/document/kyrgyzstan-nap-undp.pdf</vt:lpwstr>
      </vt:variant>
      <vt:variant>
        <vt:lpwstr/>
      </vt:variant>
      <vt:variant>
        <vt:i4>5242958</vt:i4>
      </vt:variant>
      <vt:variant>
        <vt:i4>216</vt:i4>
      </vt:variant>
      <vt:variant>
        <vt:i4>0</vt:i4>
      </vt:variant>
      <vt:variant>
        <vt:i4>5</vt:i4>
      </vt:variant>
      <vt:variant>
        <vt:lpwstr>https://unfccc.int/sites/default/files/NDC/2022-06/%D0%9E%D0%9D%D0%A3%D0%92 ENG %D0%BE%D1%82 08102021.pdf</vt:lpwstr>
      </vt:variant>
      <vt:variant>
        <vt:lpwstr/>
      </vt:variant>
      <vt:variant>
        <vt:i4>720907</vt:i4>
      </vt:variant>
      <vt:variant>
        <vt:i4>213</vt:i4>
      </vt:variant>
      <vt:variant>
        <vt:i4>0</vt:i4>
      </vt:variant>
      <vt:variant>
        <vt:i4>5</vt:i4>
      </vt:variant>
      <vt:variant>
        <vt:lpwstr>https://www.undp.org/sites/g/files/zskgke326/files/2023-11/undp_kgz_ge_strategy_2023-27.pdf</vt:lpwstr>
      </vt:variant>
      <vt:variant>
        <vt:lpwstr/>
      </vt:variant>
      <vt:variant>
        <vt:i4>2883687</vt:i4>
      </vt:variant>
      <vt:variant>
        <vt:i4>210</vt:i4>
      </vt:variant>
      <vt:variant>
        <vt:i4>0</vt:i4>
      </vt:variant>
      <vt:variant>
        <vt:i4>5</vt:i4>
      </vt:variant>
      <vt:variant>
        <vt:lpwstr>https://www.adb.org/sites/default/files/institutional-document/546966/kyrgyzrepublic-country-gender-assessment-2019.pdf</vt:lpwstr>
      </vt:variant>
      <vt:variant>
        <vt:lpwstr/>
      </vt:variant>
      <vt:variant>
        <vt:i4>2228237</vt:i4>
      </vt:variant>
      <vt:variant>
        <vt:i4>207</vt:i4>
      </vt:variant>
      <vt:variant>
        <vt:i4>0</vt:i4>
      </vt:variant>
      <vt:variant>
        <vt:i4>5</vt:i4>
      </vt:variant>
      <vt:variant>
        <vt:lpwstr>https://climateknowledgeportal.worldbank.org/sites/default/files/country-profiles/17036-WB_Kyrgyz-Republic-Country-Profile-WEB.pdf</vt:lpwstr>
      </vt:variant>
      <vt:variant>
        <vt:lpwstr/>
      </vt:variant>
      <vt:variant>
        <vt:i4>2883687</vt:i4>
      </vt:variant>
      <vt:variant>
        <vt:i4>204</vt:i4>
      </vt:variant>
      <vt:variant>
        <vt:i4>0</vt:i4>
      </vt:variant>
      <vt:variant>
        <vt:i4>5</vt:i4>
      </vt:variant>
      <vt:variant>
        <vt:lpwstr>https://www.adb.org/sites/default/files/institutional-document/546966/kyrgyzrepublic-country-gender-assessment-2019.pdf</vt:lpwstr>
      </vt:variant>
      <vt:variant>
        <vt:lpwstr/>
      </vt:variant>
      <vt:variant>
        <vt:i4>2031635</vt:i4>
      </vt:variant>
      <vt:variant>
        <vt:i4>201</vt:i4>
      </vt:variant>
      <vt:variant>
        <vt:i4>0</vt:i4>
      </vt:variant>
      <vt:variant>
        <vt:i4>5</vt:i4>
      </vt:variant>
      <vt:variant>
        <vt:lpwstr>https://hdr.undp.org/data-center/specific-country-data</vt:lpwstr>
      </vt:variant>
      <vt:variant>
        <vt:lpwstr>/countries/KGZ</vt:lpwstr>
      </vt:variant>
      <vt:variant>
        <vt:i4>4784201</vt:i4>
      </vt:variant>
      <vt:variant>
        <vt:i4>198</vt:i4>
      </vt:variant>
      <vt:variant>
        <vt:i4>0</vt:i4>
      </vt:variant>
      <vt:variant>
        <vt:i4>5</vt:i4>
      </vt:variant>
      <vt:variant>
        <vt:lpwstr>https://hdr.undp.org/content/human-development-report-2023-24</vt:lpwstr>
      </vt:variant>
      <vt:variant>
        <vt:lpwstr/>
      </vt:variant>
      <vt:variant>
        <vt:i4>5832708</vt:i4>
      </vt:variant>
      <vt:variant>
        <vt:i4>195</vt:i4>
      </vt:variant>
      <vt:variant>
        <vt:i4>0</vt:i4>
      </vt:variant>
      <vt:variant>
        <vt:i4>5</vt:i4>
      </vt:variant>
      <vt:variant>
        <vt:lpwstr>https://www.undp.org/kyrgyzstan/press-releases/rich-countries-attain-record-human-development-half-poorest-have-gone-backwards-finds-un-development-programme</vt:lpwstr>
      </vt:variant>
      <vt:variant>
        <vt:lpwstr/>
      </vt:variant>
      <vt:variant>
        <vt:i4>720907</vt:i4>
      </vt:variant>
      <vt:variant>
        <vt:i4>192</vt:i4>
      </vt:variant>
      <vt:variant>
        <vt:i4>0</vt:i4>
      </vt:variant>
      <vt:variant>
        <vt:i4>5</vt:i4>
      </vt:variant>
      <vt:variant>
        <vt:lpwstr>https://www.undp.org/sites/g/files/zskgke326/files/2023-11/undp_kgz_ge_strategy_2023-27.pdf</vt:lpwstr>
      </vt:variant>
      <vt:variant>
        <vt:lpwstr/>
      </vt:variant>
      <vt:variant>
        <vt:i4>917588</vt:i4>
      </vt:variant>
      <vt:variant>
        <vt:i4>189</vt:i4>
      </vt:variant>
      <vt:variant>
        <vt:i4>0</vt:i4>
      </vt:variant>
      <vt:variant>
        <vt:i4>5</vt:i4>
      </vt:variant>
      <vt:variant>
        <vt:lpwstr>https://cbd.minjust.gov.kg/159472/edition/1189691/ru</vt:lpwstr>
      </vt:variant>
      <vt:variant>
        <vt:lpwstr/>
      </vt:variant>
      <vt:variant>
        <vt:i4>720907</vt:i4>
      </vt:variant>
      <vt:variant>
        <vt:i4>186</vt:i4>
      </vt:variant>
      <vt:variant>
        <vt:i4>0</vt:i4>
      </vt:variant>
      <vt:variant>
        <vt:i4>5</vt:i4>
      </vt:variant>
      <vt:variant>
        <vt:lpwstr>https://www.undp.org/sites/g/files/zskgke326/files/2023-11/undp_kgz_ge_strategy_2023-27.pdf</vt:lpwstr>
      </vt:variant>
      <vt:variant>
        <vt:lpwstr/>
      </vt:variant>
      <vt:variant>
        <vt:i4>327771</vt:i4>
      </vt:variant>
      <vt:variant>
        <vt:i4>183</vt:i4>
      </vt:variant>
      <vt:variant>
        <vt:i4>0</vt:i4>
      </vt:variant>
      <vt:variant>
        <vt:i4>5</vt:i4>
      </vt:variant>
      <vt:variant>
        <vt:lpwstr>https://cbd.minjust.gov.kg/112424/edition/1262743/ru</vt:lpwstr>
      </vt:variant>
      <vt:variant>
        <vt:lpwstr/>
      </vt:variant>
      <vt:variant>
        <vt:i4>5505100</vt:i4>
      </vt:variant>
      <vt:variant>
        <vt:i4>180</vt:i4>
      </vt:variant>
      <vt:variant>
        <vt:i4>0</vt:i4>
      </vt:variant>
      <vt:variant>
        <vt:i4>5</vt:i4>
      </vt:variant>
      <vt:variant>
        <vt:lpwstr>https://cbd.minjust.gov.kg/99775/edition/17052/ru</vt:lpwstr>
      </vt:variant>
      <vt:variant>
        <vt:lpwstr/>
      </vt:variant>
      <vt:variant>
        <vt:i4>5832795</vt:i4>
      </vt:variant>
      <vt:variant>
        <vt:i4>177</vt:i4>
      </vt:variant>
      <vt:variant>
        <vt:i4>0</vt:i4>
      </vt:variant>
      <vt:variant>
        <vt:i4>5</vt:i4>
      </vt:variant>
      <vt:variant>
        <vt:lpwstr>https://cbd.minjust.gov.kg/7-21240/edition/1271105/ru</vt:lpwstr>
      </vt:variant>
      <vt:variant>
        <vt:lpwstr/>
      </vt:variant>
      <vt:variant>
        <vt:i4>89</vt:i4>
      </vt:variant>
      <vt:variant>
        <vt:i4>174</vt:i4>
      </vt:variant>
      <vt:variant>
        <vt:i4>0</vt:i4>
      </vt:variant>
      <vt:variant>
        <vt:i4>5</vt:i4>
      </vt:variant>
      <vt:variant>
        <vt:lpwstr>https://cbd.minjust.gov.kg/159102/edition/1169203/ru</vt:lpwstr>
      </vt:variant>
      <vt:variant>
        <vt:lpwstr/>
      </vt:variant>
      <vt:variant>
        <vt:i4>89</vt:i4>
      </vt:variant>
      <vt:variant>
        <vt:i4>171</vt:i4>
      </vt:variant>
      <vt:variant>
        <vt:i4>0</vt:i4>
      </vt:variant>
      <vt:variant>
        <vt:i4>5</vt:i4>
      </vt:variant>
      <vt:variant>
        <vt:lpwstr>https://cbd.minjust.gov.kg/159102/edition/1169203/ru</vt:lpwstr>
      </vt:variant>
      <vt:variant>
        <vt:lpwstr/>
      </vt:variant>
      <vt:variant>
        <vt:i4>2490405</vt:i4>
      </vt:variant>
      <vt:variant>
        <vt:i4>168</vt:i4>
      </vt:variant>
      <vt:variant>
        <vt:i4>0</vt:i4>
      </vt:variant>
      <vt:variant>
        <vt:i4>5</vt:i4>
      </vt:variant>
      <vt:variant>
        <vt:lpwstr>https://mineconom.gov.kg/ru/direct/302/sub/492</vt:lpwstr>
      </vt:variant>
      <vt:variant>
        <vt:lpwstr/>
      </vt:variant>
      <vt:variant>
        <vt:i4>3604597</vt:i4>
      </vt:variant>
      <vt:variant>
        <vt:i4>165</vt:i4>
      </vt:variant>
      <vt:variant>
        <vt:i4>0</vt:i4>
      </vt:variant>
      <vt:variant>
        <vt:i4>5</vt:i4>
      </vt:variant>
      <vt:variant>
        <vt:lpwstr>https://mineconom.gov.kg/ru/direct/302/335</vt:lpwstr>
      </vt:variant>
      <vt:variant>
        <vt:lpwstr/>
      </vt:variant>
      <vt:variant>
        <vt:i4>2818151</vt:i4>
      </vt:variant>
      <vt:variant>
        <vt:i4>162</vt:i4>
      </vt:variant>
      <vt:variant>
        <vt:i4>0</vt:i4>
      </vt:variant>
      <vt:variant>
        <vt:i4>5</vt:i4>
      </vt:variant>
      <vt:variant>
        <vt:lpwstr>https://www.nbkr.kg/contout.jsp?item=56&amp;lang=RUS&amp;material=44955</vt:lpwstr>
      </vt:variant>
      <vt:variant>
        <vt:lpwstr/>
      </vt:variant>
      <vt:variant>
        <vt:i4>327771</vt:i4>
      </vt:variant>
      <vt:variant>
        <vt:i4>159</vt:i4>
      </vt:variant>
      <vt:variant>
        <vt:i4>0</vt:i4>
      </vt:variant>
      <vt:variant>
        <vt:i4>5</vt:i4>
      </vt:variant>
      <vt:variant>
        <vt:lpwstr>https://cbd.minjust.gov.kg/112424/edition/1262743/ru</vt:lpwstr>
      </vt:variant>
      <vt:variant>
        <vt:lpwstr/>
      </vt:variant>
      <vt:variant>
        <vt:i4>1376310</vt:i4>
      </vt:variant>
      <vt:variant>
        <vt:i4>156</vt:i4>
      </vt:variant>
      <vt:variant>
        <vt:i4>0</vt:i4>
      </vt:variant>
      <vt:variant>
        <vt:i4>5</vt:i4>
      </vt:variant>
      <vt:variant>
        <vt:lpwstr>https://climate-laws.org/document/program-for-the-development-of-a-green-economy-in-the-kyrgyz-republic-for-2019-2023_934c</vt:lpwstr>
      </vt:variant>
      <vt:variant>
        <vt:lpwstr/>
      </vt:variant>
      <vt:variant>
        <vt:i4>6684726</vt:i4>
      </vt:variant>
      <vt:variant>
        <vt:i4>153</vt:i4>
      </vt:variant>
      <vt:variant>
        <vt:i4>0</vt:i4>
      </vt:variant>
      <vt:variant>
        <vt:i4>5</vt:i4>
      </vt:variant>
      <vt:variant>
        <vt:lpwstr>https://www.undp.org/kyrgyzstan/press-releases/advancing-national-adaptation-plan-climate-change-kyrgyzstan</vt:lpwstr>
      </vt:variant>
      <vt:variant>
        <vt:lpwstr/>
      </vt:variant>
      <vt:variant>
        <vt:i4>5242958</vt:i4>
      </vt:variant>
      <vt:variant>
        <vt:i4>150</vt:i4>
      </vt:variant>
      <vt:variant>
        <vt:i4>0</vt:i4>
      </vt:variant>
      <vt:variant>
        <vt:i4>5</vt:i4>
      </vt:variant>
      <vt:variant>
        <vt:lpwstr>https://unfccc.int/sites/default/files/NDC/2022-06/%D0%9E%D0%9D%D0%A3%D0%92 ENG %D0%BE%D1%82 08102021.pdf</vt:lpwstr>
      </vt:variant>
      <vt:variant>
        <vt:lpwstr/>
      </vt:variant>
      <vt:variant>
        <vt:i4>327759</vt:i4>
      </vt:variant>
      <vt:variant>
        <vt:i4>147</vt:i4>
      </vt:variant>
      <vt:variant>
        <vt:i4>0</vt:i4>
      </vt:variant>
      <vt:variant>
        <vt:i4>5</vt:i4>
      </vt:variant>
      <vt:variant>
        <vt:lpwstr>https://www.gov.kg/ru/programs/16</vt:lpwstr>
      </vt:variant>
      <vt:variant>
        <vt:lpwstr/>
      </vt:variant>
      <vt:variant>
        <vt:i4>3801145</vt:i4>
      </vt:variant>
      <vt:variant>
        <vt:i4>144</vt:i4>
      </vt:variant>
      <vt:variant>
        <vt:i4>0</vt:i4>
      </vt:variant>
      <vt:variant>
        <vt:i4>5</vt:i4>
      </vt:variant>
      <vt:variant>
        <vt:lpwstr>https://sdgs.un.org/system/files/webform/sdg_national_commitments_form/21799/national_development_strategy_of_kr_2018-2040_final_eng.pdf</vt:lpwstr>
      </vt:variant>
      <vt:variant>
        <vt:lpwstr/>
      </vt:variant>
      <vt:variant>
        <vt:i4>5963847</vt:i4>
      </vt:variant>
      <vt:variant>
        <vt:i4>141</vt:i4>
      </vt:variant>
      <vt:variant>
        <vt:i4>0</vt:i4>
      </vt:variant>
      <vt:variant>
        <vt:i4>5</vt:i4>
      </vt:variant>
      <vt:variant>
        <vt:lpwstr>https://www.undp.org/kyrgyzstan/press-releases/undp-kyrgyzstan-supported-state-development-bank-launch-new-product-field-green-financing</vt:lpwstr>
      </vt:variant>
      <vt:variant>
        <vt:lpwstr/>
      </vt:variant>
      <vt:variant>
        <vt:i4>3080243</vt:i4>
      </vt:variant>
      <vt:variant>
        <vt:i4>138</vt:i4>
      </vt:variant>
      <vt:variant>
        <vt:i4>0</vt:i4>
      </vt:variant>
      <vt:variant>
        <vt:i4>5</vt:i4>
      </vt:variant>
      <vt:variant>
        <vt:lpwstr>https://www.undp.org/kyrgyzstan/publications/green-finance-market-assessment-kyrgyzstan</vt:lpwstr>
      </vt:variant>
      <vt:variant>
        <vt:lpwstr/>
      </vt:variant>
      <vt:variant>
        <vt:i4>3080243</vt:i4>
      </vt:variant>
      <vt:variant>
        <vt:i4>135</vt:i4>
      </vt:variant>
      <vt:variant>
        <vt:i4>0</vt:i4>
      </vt:variant>
      <vt:variant>
        <vt:i4>5</vt:i4>
      </vt:variant>
      <vt:variant>
        <vt:lpwstr>https://www.undp.org/kyrgyzstan/publications/green-finance-market-assessment-kyrgyzstan</vt:lpwstr>
      </vt:variant>
      <vt:variant>
        <vt:lpwstr/>
      </vt:variant>
      <vt:variant>
        <vt:i4>5898277</vt:i4>
      </vt:variant>
      <vt:variant>
        <vt:i4>132</vt:i4>
      </vt:variant>
      <vt:variant>
        <vt:i4>0</vt:i4>
      </vt:variant>
      <vt:variant>
        <vt:i4>5</vt:i4>
      </vt:variant>
      <vt:variant>
        <vt:lpwstr>https://www.undp.org/sites/g/files/zskgke326/files/2024-11/the_concept_of_the_development_of_climate_finance_in_the_kyrgyz_republic.pdf</vt:lpwstr>
      </vt:variant>
      <vt:variant>
        <vt:lpwstr/>
      </vt:variant>
      <vt:variant>
        <vt:i4>5242958</vt:i4>
      </vt:variant>
      <vt:variant>
        <vt:i4>129</vt:i4>
      </vt:variant>
      <vt:variant>
        <vt:i4>0</vt:i4>
      </vt:variant>
      <vt:variant>
        <vt:i4>5</vt:i4>
      </vt:variant>
      <vt:variant>
        <vt:lpwstr>https://unfccc.int/sites/default/files/NDC/2022-06/%D0%9E%D0%9D%D0%A3%D0%92 ENG %D0%BE%D1%82 08102021.pdf</vt:lpwstr>
      </vt:variant>
      <vt:variant>
        <vt:lpwstr/>
      </vt:variant>
      <vt:variant>
        <vt:i4>1769473</vt:i4>
      </vt:variant>
      <vt:variant>
        <vt:i4>126</vt:i4>
      </vt:variant>
      <vt:variant>
        <vt:i4>0</vt:i4>
      </vt:variant>
      <vt:variant>
        <vt:i4>5</vt:i4>
      </vt:variant>
      <vt:variant>
        <vt:lpwstr>https://mineconom.gov.kg/froala/uploads/file/652212a61eaece69258d0b5acab1d7fb9b70a5d4.pdf</vt:lpwstr>
      </vt:variant>
      <vt:variant>
        <vt:lpwstr/>
      </vt:variant>
      <vt:variant>
        <vt:i4>2555949</vt:i4>
      </vt:variant>
      <vt:variant>
        <vt:i4>123</vt:i4>
      </vt:variant>
      <vt:variant>
        <vt:i4>0</vt:i4>
      </vt:variant>
      <vt:variant>
        <vt:i4>5</vt:i4>
      </vt:variant>
      <vt:variant>
        <vt:lpwstr>https://documents1.worldbank.org/curated/ar/788321558682372895/pdf/Climate-Investment-Programme-Operational-Framework-for-Managing-and-Accessing-Climate-Finance-in-the-Kyrgyz-Republic.pdf</vt:lpwstr>
      </vt:variant>
      <vt:variant>
        <vt:lpwstr/>
      </vt:variant>
      <vt:variant>
        <vt:i4>6160401</vt:i4>
      </vt:variant>
      <vt:variant>
        <vt:i4>120</vt:i4>
      </vt:variant>
      <vt:variant>
        <vt:i4>0</vt:i4>
      </vt:variant>
      <vt:variant>
        <vt:i4>5</vt:i4>
      </vt:variant>
      <vt:variant>
        <vt:lpwstr>https://mnr.gov.kg/ru/page/vybrosy-kadastr?from=2010&amp;to=2020&amp;category=10&amp;type=line&amp;datalabel=hide&amp;checked=427%2C428%2C439%2C469%2C551</vt:lpwstr>
      </vt:variant>
      <vt:variant>
        <vt:lpwstr/>
      </vt:variant>
      <vt:variant>
        <vt:i4>5242958</vt:i4>
      </vt:variant>
      <vt:variant>
        <vt:i4>117</vt:i4>
      </vt:variant>
      <vt:variant>
        <vt:i4>0</vt:i4>
      </vt:variant>
      <vt:variant>
        <vt:i4>5</vt:i4>
      </vt:variant>
      <vt:variant>
        <vt:lpwstr>https://unfccc.int/sites/default/files/NDC/2022-06/%D0%9E%D0%9D%D0%A3%D0%92 ENG %D0%BE%D1%82 08102021.pdf</vt:lpwstr>
      </vt:variant>
      <vt:variant>
        <vt:lpwstr/>
      </vt:variant>
      <vt:variant>
        <vt:i4>5242958</vt:i4>
      </vt:variant>
      <vt:variant>
        <vt:i4>114</vt:i4>
      </vt:variant>
      <vt:variant>
        <vt:i4>0</vt:i4>
      </vt:variant>
      <vt:variant>
        <vt:i4>5</vt:i4>
      </vt:variant>
      <vt:variant>
        <vt:lpwstr>https://unfccc.int/sites/default/files/NDC/2022-06/%D0%9E%D0%9D%D0%A3%D0%92 ENG %D0%BE%D1%82 08102021.pdf</vt:lpwstr>
      </vt:variant>
      <vt:variant>
        <vt:lpwstr/>
      </vt:variant>
      <vt:variant>
        <vt:i4>5242958</vt:i4>
      </vt:variant>
      <vt:variant>
        <vt:i4>111</vt:i4>
      </vt:variant>
      <vt:variant>
        <vt:i4>0</vt:i4>
      </vt:variant>
      <vt:variant>
        <vt:i4>5</vt:i4>
      </vt:variant>
      <vt:variant>
        <vt:lpwstr>https://unfccc.int/sites/default/files/NDC/2022-06/%D0%9E%D0%9D%D0%A3%D0%92 ENG %D0%BE%D1%82 08102021.pdf</vt:lpwstr>
      </vt:variant>
      <vt:variant>
        <vt:lpwstr/>
      </vt:variant>
      <vt:variant>
        <vt:i4>2228237</vt:i4>
      </vt:variant>
      <vt:variant>
        <vt:i4>108</vt:i4>
      </vt:variant>
      <vt:variant>
        <vt:i4>0</vt:i4>
      </vt:variant>
      <vt:variant>
        <vt:i4>5</vt:i4>
      </vt:variant>
      <vt:variant>
        <vt:lpwstr>https://climateknowledgeportal.worldbank.org/sites/default/files/country-profiles/17036-WB_Kyrgyz-Republic-Country-Profile-WEB.pdf</vt:lpwstr>
      </vt:variant>
      <vt:variant>
        <vt:lpwstr/>
      </vt:variant>
      <vt:variant>
        <vt:i4>7536694</vt:i4>
      </vt:variant>
      <vt:variant>
        <vt:i4>105</vt:i4>
      </vt:variant>
      <vt:variant>
        <vt:i4>0</vt:i4>
      </vt:variant>
      <vt:variant>
        <vt:i4>5</vt:i4>
      </vt:variant>
      <vt:variant>
        <vt:lpwstr>https://www.undp.org/kyrgyzstan/publications/air-quality-bishkek-assessment-emission-sources-and-roadmap-supporting-air-quality-management</vt:lpwstr>
      </vt:variant>
      <vt:variant>
        <vt:lpwstr/>
      </vt:variant>
      <vt:variant>
        <vt:i4>2228328</vt:i4>
      </vt:variant>
      <vt:variant>
        <vt:i4>102</vt:i4>
      </vt:variant>
      <vt:variant>
        <vt:i4>0</vt:i4>
      </vt:variant>
      <vt:variant>
        <vt:i4>5</vt:i4>
      </vt:variant>
      <vt:variant>
        <vt:lpwstr>https://centralasiaclimateportal.org/climate-change-summer-in-kyrgyzstan-is-getting-hotter-and-hotter/</vt:lpwstr>
      </vt:variant>
      <vt:variant>
        <vt:lpwstr/>
      </vt:variant>
      <vt:variant>
        <vt:i4>7405674</vt:i4>
      </vt:variant>
      <vt:variant>
        <vt:i4>99</vt:i4>
      </vt:variant>
      <vt:variant>
        <vt:i4>0</vt:i4>
      </vt:variant>
      <vt:variant>
        <vt:i4>5</vt:i4>
      </vt:variant>
      <vt:variant>
        <vt:lpwstr>https://www.who.int/globalchange/publications/quantitative-risk-assessment/en/</vt:lpwstr>
      </vt:variant>
      <vt:variant>
        <vt:lpwstr/>
      </vt:variant>
      <vt:variant>
        <vt:i4>131096</vt:i4>
      </vt:variant>
      <vt:variant>
        <vt:i4>96</vt:i4>
      </vt:variant>
      <vt:variant>
        <vt:i4>0</vt:i4>
      </vt:variant>
      <vt:variant>
        <vt:i4>5</vt:i4>
      </vt:variant>
      <vt:variant>
        <vt:lpwstr>https://unfccc.int/sites/default/files/resource/NC3_Kyrgyzstan_English_24Jan2017_0.pdf</vt:lpwstr>
      </vt:variant>
      <vt:variant>
        <vt:lpwstr/>
      </vt:variant>
      <vt:variant>
        <vt:i4>6422624</vt:i4>
      </vt:variant>
      <vt:variant>
        <vt:i4>93</vt:i4>
      </vt:variant>
      <vt:variant>
        <vt:i4>0</vt:i4>
      </vt:variant>
      <vt:variant>
        <vt:i4>5</vt:i4>
      </vt:variant>
      <vt:variant>
        <vt:lpwstr>https://docs.wfp.org/api/documents/WFP-0000009143/download/</vt:lpwstr>
      </vt:variant>
      <vt:variant>
        <vt:lpwstr/>
      </vt:variant>
      <vt:variant>
        <vt:i4>5242958</vt:i4>
      </vt:variant>
      <vt:variant>
        <vt:i4>90</vt:i4>
      </vt:variant>
      <vt:variant>
        <vt:i4>0</vt:i4>
      </vt:variant>
      <vt:variant>
        <vt:i4>5</vt:i4>
      </vt:variant>
      <vt:variant>
        <vt:lpwstr>https://unfccc.int/sites/default/files/NDC/2022-06/%D0%9E%D0%9D%D0%A3%D0%92 ENG %D0%BE%D1%82 08102021.pdf</vt:lpwstr>
      </vt:variant>
      <vt:variant>
        <vt:lpwstr/>
      </vt:variant>
      <vt:variant>
        <vt:i4>3604585</vt:i4>
      </vt:variant>
      <vt:variant>
        <vt:i4>87</vt:i4>
      </vt:variant>
      <vt:variant>
        <vt:i4>0</vt:i4>
      </vt:variant>
      <vt:variant>
        <vt:i4>5</vt:i4>
      </vt:variant>
      <vt:variant>
        <vt:lpwstr>https://climateknowledgeportal.worldbank.org/country/kyrgyz-republic/vulnerability</vt:lpwstr>
      </vt:variant>
      <vt:variant>
        <vt:lpwstr/>
      </vt:variant>
      <vt:variant>
        <vt:i4>2228237</vt:i4>
      </vt:variant>
      <vt:variant>
        <vt:i4>84</vt:i4>
      </vt:variant>
      <vt:variant>
        <vt:i4>0</vt:i4>
      </vt:variant>
      <vt:variant>
        <vt:i4>5</vt:i4>
      </vt:variant>
      <vt:variant>
        <vt:lpwstr>https://climateknowledgeportal.worldbank.org/sites/default/files/country-profiles/17036-WB_Kyrgyz-Republic-Country-Profile-WEB.pdf</vt:lpwstr>
      </vt:variant>
      <vt:variant>
        <vt:lpwstr/>
      </vt:variant>
      <vt:variant>
        <vt:i4>4456456</vt:i4>
      </vt:variant>
      <vt:variant>
        <vt:i4>81</vt:i4>
      </vt:variant>
      <vt:variant>
        <vt:i4>0</vt:i4>
      </vt:variant>
      <vt:variant>
        <vt:i4>5</vt:i4>
      </vt:variant>
      <vt:variant>
        <vt:lpwstr>https://www.climatelinks.org/sites/default/files/asset/document/2021-07/2021_USAID_CDCS-Annex-Kyrgyz-Republic.pdf</vt:lpwstr>
      </vt:variant>
      <vt:variant>
        <vt:lpwstr/>
      </vt:variant>
      <vt:variant>
        <vt:i4>2228237</vt:i4>
      </vt:variant>
      <vt:variant>
        <vt:i4>78</vt:i4>
      </vt:variant>
      <vt:variant>
        <vt:i4>0</vt:i4>
      </vt:variant>
      <vt:variant>
        <vt:i4>5</vt:i4>
      </vt:variant>
      <vt:variant>
        <vt:lpwstr>https://climateknowledgeportal.worldbank.org/sites/default/files/country-profiles/17036-WB_Kyrgyz-Republic-Country-Profile-WEB.pdf</vt:lpwstr>
      </vt:variant>
      <vt:variant>
        <vt:lpwstr/>
      </vt:variant>
      <vt:variant>
        <vt:i4>5439575</vt:i4>
      </vt:variant>
      <vt:variant>
        <vt:i4>75</vt:i4>
      </vt:variant>
      <vt:variant>
        <vt:i4>0</vt:i4>
      </vt:variant>
      <vt:variant>
        <vt:i4>5</vt:i4>
      </vt:variant>
      <vt:variant>
        <vt:lpwstr>https://kyrgyzstan.un.org/sites/default/files/2024-04/ENG UN Common country analysis for the KG-2023.pdf</vt:lpwstr>
      </vt:variant>
      <vt:variant>
        <vt:lpwstr/>
      </vt:variant>
      <vt:variant>
        <vt:i4>6815863</vt:i4>
      </vt:variant>
      <vt:variant>
        <vt:i4>72</vt:i4>
      </vt:variant>
      <vt:variant>
        <vt:i4>0</vt:i4>
      </vt:variant>
      <vt:variant>
        <vt:i4>5</vt:i4>
      </vt:variant>
      <vt:variant>
        <vt:lpwstr>https://www.elibrary.imf.org/downloadpdf/journals/002/2023/092/article-A002-en.xml</vt:lpwstr>
      </vt:variant>
      <vt:variant>
        <vt:lpwstr/>
      </vt:variant>
      <vt:variant>
        <vt:i4>5636172</vt:i4>
      </vt:variant>
      <vt:variant>
        <vt:i4>69</vt:i4>
      </vt:variant>
      <vt:variant>
        <vt:i4>0</vt:i4>
      </vt:variant>
      <vt:variant>
        <vt:i4>5</vt:i4>
      </vt:variant>
      <vt:variant>
        <vt:lpwstr>https://unece.org/sites/default/files/2021-11/Childcare_WE_Covid-19_Kyrgyzstan_en.pdf</vt:lpwstr>
      </vt:variant>
      <vt:variant>
        <vt:lpwstr/>
      </vt:variant>
      <vt:variant>
        <vt:i4>1507335</vt:i4>
      </vt:variant>
      <vt:variant>
        <vt:i4>66</vt:i4>
      </vt:variant>
      <vt:variant>
        <vt:i4>0</vt:i4>
      </vt:variant>
      <vt:variant>
        <vt:i4>5</vt:i4>
      </vt:variant>
      <vt:variant>
        <vt:lpwstr>https://stat.gov.kg/ru/opendata/category/332/</vt:lpwstr>
      </vt:variant>
      <vt:variant>
        <vt:lpwstr/>
      </vt:variant>
      <vt:variant>
        <vt:i4>4325376</vt:i4>
      </vt:variant>
      <vt:variant>
        <vt:i4>63</vt:i4>
      </vt:variant>
      <vt:variant>
        <vt:i4>0</vt:i4>
      </vt:variant>
      <vt:variant>
        <vt:i4>5</vt:i4>
      </vt:variant>
      <vt:variant>
        <vt:lpwstr>https://stat.gov.kg/ru/statistics/zanyatost/</vt:lpwstr>
      </vt:variant>
      <vt:variant>
        <vt:lpwstr/>
      </vt:variant>
      <vt:variant>
        <vt:i4>8061029</vt:i4>
      </vt:variant>
      <vt:variant>
        <vt:i4>60</vt:i4>
      </vt:variant>
      <vt:variant>
        <vt:i4>0</vt:i4>
      </vt:variant>
      <vt:variant>
        <vt:i4>5</vt:i4>
      </vt:variant>
      <vt:variant>
        <vt:lpwstr>https://hdr.undp.org/content/2024-global-multidimensional-poverty-index-mpi</vt:lpwstr>
      </vt:variant>
      <vt:variant>
        <vt:lpwstr>/indicies/MPI</vt:lpwstr>
      </vt:variant>
      <vt:variant>
        <vt:i4>8060968</vt:i4>
      </vt:variant>
      <vt:variant>
        <vt:i4>57</vt:i4>
      </vt:variant>
      <vt:variant>
        <vt:i4>0</vt:i4>
      </vt:variant>
      <vt:variant>
        <vt:i4>5</vt:i4>
      </vt:variant>
      <vt:variant>
        <vt:lpwstr>https://reliefweb.int/report/kyrgyzstan/price-monitoring-food-security-kyrgyz-republic-issue-82-02-august-2024</vt:lpwstr>
      </vt:variant>
      <vt:variant>
        <vt:lpwstr/>
      </vt:variant>
      <vt:variant>
        <vt:i4>3014711</vt:i4>
      </vt:variant>
      <vt:variant>
        <vt:i4>54</vt:i4>
      </vt:variant>
      <vt:variant>
        <vt:i4>0</vt:i4>
      </vt:variant>
      <vt:variant>
        <vt:i4>5</vt:i4>
      </vt:variant>
      <vt:variant>
        <vt:lpwstr>https://www.elibrary.imf.org/view/journals/002/2023/092/article-A003-en.xml</vt:lpwstr>
      </vt:variant>
      <vt:variant>
        <vt:lpwstr/>
      </vt:variant>
      <vt:variant>
        <vt:i4>5046282</vt:i4>
      </vt:variant>
      <vt:variant>
        <vt:i4>51</vt:i4>
      </vt:variant>
      <vt:variant>
        <vt:i4>0</vt:i4>
      </vt:variant>
      <vt:variant>
        <vt:i4>5</vt:i4>
      </vt:variant>
      <vt:variant>
        <vt:lpwstr>https://stat.gov.kg/ru/publications/uroven-bednosti-v-kyrgyzskoj-respublike/</vt:lpwstr>
      </vt:variant>
      <vt:variant>
        <vt:lpwstr/>
      </vt:variant>
      <vt:variant>
        <vt:i4>3735668</vt:i4>
      </vt:variant>
      <vt:variant>
        <vt:i4>48</vt:i4>
      </vt:variant>
      <vt:variant>
        <vt:i4>0</vt:i4>
      </vt:variant>
      <vt:variant>
        <vt:i4>5</vt:i4>
      </vt:variant>
      <vt:variant>
        <vt:lpwstr>https://stat.gov.kg/ru/statistics/obrazovanie/</vt:lpwstr>
      </vt:variant>
      <vt:variant>
        <vt:lpwstr/>
      </vt:variant>
      <vt:variant>
        <vt:i4>4325410</vt:i4>
      </vt:variant>
      <vt:variant>
        <vt:i4>45</vt:i4>
      </vt:variant>
      <vt:variant>
        <vt:i4>0</vt:i4>
      </vt:variant>
      <vt:variant>
        <vt:i4>5</vt:i4>
      </vt:variant>
      <vt:variant>
        <vt:lpwstr>https://kyrgyzstan.iom.int/sites/g/files/tmzbdl1321/files/documents/2024-04/compilation_report_dec_2023.pdf</vt:lpwstr>
      </vt:variant>
      <vt:variant>
        <vt:lpwstr/>
      </vt:variant>
      <vt:variant>
        <vt:i4>5570580</vt:i4>
      </vt:variant>
      <vt:variant>
        <vt:i4>42</vt:i4>
      </vt:variant>
      <vt:variant>
        <vt:i4>0</vt:i4>
      </vt:variant>
      <vt:variant>
        <vt:i4>5</vt:i4>
      </vt:variant>
      <vt:variant>
        <vt:lpwstr>https://stat.gov.kg/ru/statistics/naselenie/</vt:lpwstr>
      </vt:variant>
      <vt:variant>
        <vt:lpwstr/>
      </vt:variant>
      <vt:variant>
        <vt:i4>5570580</vt:i4>
      </vt:variant>
      <vt:variant>
        <vt:i4>39</vt:i4>
      </vt:variant>
      <vt:variant>
        <vt:i4>0</vt:i4>
      </vt:variant>
      <vt:variant>
        <vt:i4>5</vt:i4>
      </vt:variant>
      <vt:variant>
        <vt:lpwstr>https://stat.gov.kg/ru/statistics/naselenie/</vt:lpwstr>
      </vt:variant>
      <vt:variant>
        <vt:lpwstr/>
      </vt:variant>
      <vt:variant>
        <vt:i4>4325410</vt:i4>
      </vt:variant>
      <vt:variant>
        <vt:i4>36</vt:i4>
      </vt:variant>
      <vt:variant>
        <vt:i4>0</vt:i4>
      </vt:variant>
      <vt:variant>
        <vt:i4>5</vt:i4>
      </vt:variant>
      <vt:variant>
        <vt:lpwstr>https://kyrgyzstan.iom.int/sites/g/files/tmzbdl1321/files/documents/2024-04/compilation_report_dec_2023.pdf</vt:lpwstr>
      </vt:variant>
      <vt:variant>
        <vt:lpwstr/>
      </vt:variant>
      <vt:variant>
        <vt:i4>2883616</vt:i4>
      </vt:variant>
      <vt:variant>
        <vt:i4>33</vt:i4>
      </vt:variant>
      <vt:variant>
        <vt:i4>0</vt:i4>
      </vt:variant>
      <vt:variant>
        <vt:i4>5</vt:i4>
      </vt:variant>
      <vt:variant>
        <vt:lpwstr>https://www.wfpusa.org/countries/kyrgyzstan/</vt:lpwstr>
      </vt:variant>
      <vt:variant>
        <vt:lpwstr>:~:text=Limited%20by%20Agriculture&amp;text=As%20a%20result%2C%20Kyrgyzstan%20depends,of%20their%20budgets%20on%20food</vt:lpwstr>
      </vt:variant>
      <vt:variant>
        <vt:i4>524381</vt:i4>
      </vt:variant>
      <vt:variant>
        <vt:i4>30</vt:i4>
      </vt:variant>
      <vt:variant>
        <vt:i4>0</vt:i4>
      </vt:variant>
      <vt:variant>
        <vt:i4>5</vt:i4>
      </vt:variant>
      <vt:variant>
        <vt:lpwstr>https://stat.gov.kg/ru/statistics/vneshneekonomicheskaya-deyatelnost/</vt:lpwstr>
      </vt:variant>
      <vt:variant>
        <vt:lpwstr/>
      </vt:variant>
      <vt:variant>
        <vt:i4>7929903</vt:i4>
      </vt:variant>
      <vt:variant>
        <vt:i4>27</vt:i4>
      </vt:variant>
      <vt:variant>
        <vt:i4>0</vt:i4>
      </vt:variant>
      <vt:variant>
        <vt:i4>5</vt:i4>
      </vt:variant>
      <vt:variant>
        <vt:lpwstr>https://www.econstor.eu/bitstream/10419/222739/1/1668736993.pdf</vt:lpwstr>
      </vt:variant>
      <vt:variant>
        <vt:lpwstr/>
      </vt:variant>
      <vt:variant>
        <vt:i4>5439575</vt:i4>
      </vt:variant>
      <vt:variant>
        <vt:i4>24</vt:i4>
      </vt:variant>
      <vt:variant>
        <vt:i4>0</vt:i4>
      </vt:variant>
      <vt:variant>
        <vt:i4>5</vt:i4>
      </vt:variant>
      <vt:variant>
        <vt:lpwstr>https://kyrgyzstan.un.org/sites/default/files/2024-04/ENG UN Common country analysis for the KG-2023.pdf</vt:lpwstr>
      </vt:variant>
      <vt:variant>
        <vt:lpwstr/>
      </vt:variant>
      <vt:variant>
        <vt:i4>4325376</vt:i4>
      </vt:variant>
      <vt:variant>
        <vt:i4>21</vt:i4>
      </vt:variant>
      <vt:variant>
        <vt:i4>0</vt:i4>
      </vt:variant>
      <vt:variant>
        <vt:i4>5</vt:i4>
      </vt:variant>
      <vt:variant>
        <vt:lpwstr>https://stat.gov.kg/ru/statistics/zanyatost/</vt:lpwstr>
      </vt:variant>
      <vt:variant>
        <vt:lpwstr/>
      </vt:variant>
      <vt:variant>
        <vt:i4>4653070</vt:i4>
      </vt:variant>
      <vt:variant>
        <vt:i4>18</vt:i4>
      </vt:variant>
      <vt:variant>
        <vt:i4>0</vt:i4>
      </vt:variant>
      <vt:variant>
        <vt:i4>5</vt:i4>
      </vt:variant>
      <vt:variant>
        <vt:lpwstr>https://stat.gov.kg/ru/publications/sbornik-turizm-v-kyrgyzstane/</vt:lpwstr>
      </vt:variant>
      <vt:variant>
        <vt:lpwstr/>
      </vt:variant>
      <vt:variant>
        <vt:i4>4915209</vt:i4>
      </vt:variant>
      <vt:variant>
        <vt:i4>15</vt:i4>
      </vt:variant>
      <vt:variant>
        <vt:i4>0</vt:i4>
      </vt:variant>
      <vt:variant>
        <vt:i4>5</vt:i4>
      </vt:variant>
      <vt:variant>
        <vt:lpwstr>https://stat.gov.kg/ru/statistics/nacionalnye-scheta/</vt:lpwstr>
      </vt:variant>
      <vt:variant>
        <vt:lpwstr/>
      </vt:variant>
      <vt:variant>
        <vt:i4>6815870</vt:i4>
      </vt:variant>
      <vt:variant>
        <vt:i4>12</vt:i4>
      </vt:variant>
      <vt:variant>
        <vt:i4>0</vt:i4>
      </vt:variant>
      <vt:variant>
        <vt:i4>5</vt:i4>
      </vt:variant>
      <vt:variant>
        <vt:lpwstr>https://www.worldbank.org/en/news/feature/2022/05/06/sustaining-small-business-through-the-pandemic-in-kyrgyz-republic</vt:lpwstr>
      </vt:variant>
      <vt:variant>
        <vt:lpwstr/>
      </vt:variant>
      <vt:variant>
        <vt:i4>917520</vt:i4>
      </vt:variant>
      <vt:variant>
        <vt:i4>9</vt:i4>
      </vt:variant>
      <vt:variant>
        <vt:i4>0</vt:i4>
      </vt:variant>
      <vt:variant>
        <vt:i4>5</vt:i4>
      </vt:variant>
      <vt:variant>
        <vt:lpwstr>https://www.imf.org/en/Publications/WEO/Issues/2024/10/22/world-economic-outlook-october-2024</vt:lpwstr>
      </vt:variant>
      <vt:variant>
        <vt:lpwstr/>
      </vt:variant>
      <vt:variant>
        <vt:i4>4784201</vt:i4>
      </vt:variant>
      <vt:variant>
        <vt:i4>6</vt:i4>
      </vt:variant>
      <vt:variant>
        <vt:i4>0</vt:i4>
      </vt:variant>
      <vt:variant>
        <vt:i4>5</vt:i4>
      </vt:variant>
      <vt:variant>
        <vt:lpwstr>https://hdr.undp.org/content/human-development-report-2023-24</vt:lpwstr>
      </vt:variant>
      <vt:variant>
        <vt:lpwstr/>
      </vt:variant>
      <vt:variant>
        <vt:i4>3211370</vt:i4>
      </vt:variant>
      <vt:variant>
        <vt:i4>3</vt:i4>
      </vt:variant>
      <vt:variant>
        <vt:i4>0</vt:i4>
      </vt:variant>
      <vt:variant>
        <vt:i4>5</vt:i4>
      </vt:variant>
      <vt:variant>
        <vt:lpwstr>https://cbd.minjust.gov.kg/430700/edition/13462/ru</vt:lpwstr>
      </vt:variant>
      <vt:variant>
        <vt:lpwstr/>
      </vt:variant>
      <vt:variant>
        <vt:i4>5570580</vt:i4>
      </vt:variant>
      <vt:variant>
        <vt:i4>0</vt:i4>
      </vt:variant>
      <vt:variant>
        <vt:i4>0</vt:i4>
      </vt:variant>
      <vt:variant>
        <vt:i4>5</vt:i4>
      </vt:variant>
      <vt:variant>
        <vt:lpwstr>https://stat.gov.kg/ru/statistics/naselenie/</vt:lpwstr>
      </vt:variant>
      <vt:variant>
        <vt:lpwstr/>
      </vt:variant>
      <vt:variant>
        <vt:i4>2424927</vt:i4>
      </vt:variant>
      <vt:variant>
        <vt:i4>12</vt:i4>
      </vt:variant>
      <vt:variant>
        <vt:i4>0</vt:i4>
      </vt:variant>
      <vt:variant>
        <vt:i4>5</vt:i4>
      </vt:variant>
      <vt:variant>
        <vt:lpwstr>mailto:nathaniel.pappoe@undp.org</vt:lpwstr>
      </vt:variant>
      <vt:variant>
        <vt:lpwstr/>
      </vt:variant>
      <vt:variant>
        <vt:i4>3866680</vt:i4>
      </vt:variant>
      <vt:variant>
        <vt:i4>9</vt:i4>
      </vt:variant>
      <vt:variant>
        <vt:i4>0</vt:i4>
      </vt:variant>
      <vt:variant>
        <vt:i4>5</vt:i4>
      </vt:variant>
      <vt:variant>
        <vt:lpwstr>https://mnr.gov.kg/ru/posts/our-projects/proekt-plana-realizacii-opredelyaemogo-na-nacionalnom-urovne-vklada-onuv-kr-v-parizskoe-soglasenie-ramocnoi-konvencii-oon-ob-izmenenii-klimata</vt:lpwstr>
      </vt:variant>
      <vt:variant>
        <vt:lpwstr/>
      </vt:variant>
      <vt:variant>
        <vt:i4>3866680</vt:i4>
      </vt:variant>
      <vt:variant>
        <vt:i4>6</vt:i4>
      </vt:variant>
      <vt:variant>
        <vt:i4>0</vt:i4>
      </vt:variant>
      <vt:variant>
        <vt:i4>5</vt:i4>
      </vt:variant>
      <vt:variant>
        <vt:lpwstr>https://mnr.gov.kg/ru/posts/our-projects/proekt-plana-realizacii-opredelyaemogo-na-nacionalnom-urovne-vklada-onuv-kr-v-parizskoe-soglasenie-ramocnoi-konvencii-oon-ob-izmenenii-klimata</vt:lpwstr>
      </vt:variant>
      <vt:variant>
        <vt:lpwstr/>
      </vt:variant>
      <vt:variant>
        <vt:i4>7929872</vt:i4>
      </vt:variant>
      <vt:variant>
        <vt:i4>3</vt:i4>
      </vt:variant>
      <vt:variant>
        <vt:i4>0</vt:i4>
      </vt:variant>
      <vt:variant>
        <vt:i4>5</vt:i4>
      </vt:variant>
      <vt:variant>
        <vt:lpwstr>mailto:patricia.velasco@undp.org</vt:lpwstr>
      </vt:variant>
      <vt:variant>
        <vt:lpwstr/>
      </vt:variant>
      <vt:variant>
        <vt:i4>5636137</vt:i4>
      </vt:variant>
      <vt:variant>
        <vt:i4>0</vt:i4>
      </vt:variant>
      <vt:variant>
        <vt:i4>0</vt:i4>
      </vt:variant>
      <vt:variant>
        <vt:i4>5</vt:i4>
      </vt:variant>
      <vt:variant>
        <vt:lpwstr>mailto:iryna.sakalouskaya@undp.org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Prodoc_01004366</dc:title>
  <dc:subject>Proposal Template</dc:subject>
  <dc:creator>Valentina Villoria</dc:creator>
  <cp:keywords/>
  <dc:description/>
  <cp:lastModifiedBy>Salamat Erejepov</cp:lastModifiedBy>
  <cp:revision>4</cp:revision>
  <cp:lastPrinted>2020-12-13T06:02:00Z</cp:lastPrinted>
  <dcterms:created xsi:type="dcterms:W3CDTF">2025-03-15T13:47:00Z</dcterms:created>
  <dcterms:modified xsi:type="dcterms:W3CDTF">2025-03-21T01:47:00Z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